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BA" w:rsidRDefault="00660C03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D9D9D9"/>
        </w:rPr>
        <w:t>Logo de l’émetteur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767BA" w:rsidRDefault="004767BA">
      <w:pPr>
        <w:jc w:val="left"/>
        <w:rPr>
          <w:rFonts w:ascii="Arial" w:hAnsi="Arial" w:cs="Arial"/>
          <w:sz w:val="22"/>
          <w:szCs w:val="22"/>
        </w:rPr>
      </w:pPr>
    </w:p>
    <w:p w:rsidR="004767BA" w:rsidRDefault="004767BA">
      <w:pPr>
        <w:jc w:val="left"/>
        <w:rPr>
          <w:rFonts w:ascii="Arial" w:hAnsi="Arial" w:cs="Arial"/>
          <w:sz w:val="22"/>
          <w:szCs w:val="22"/>
        </w:rPr>
      </w:pPr>
    </w:p>
    <w:p w:rsidR="004767BA" w:rsidRDefault="00660C03">
      <w:pPr>
        <w:jc w:val="center"/>
        <w:rPr>
          <w:rFonts w:ascii="Arial" w:hAnsi="Arial" w:cs="Arial"/>
          <w:color w:val="141414"/>
          <w:sz w:val="22"/>
          <w:szCs w:val="22"/>
        </w:rPr>
      </w:pPr>
      <w:proofErr w:type="gramStart"/>
      <w:r>
        <w:rPr>
          <w:rFonts w:ascii="Arial" w:hAnsi="Arial" w:cs="Arial"/>
          <w:color w:val="141414"/>
          <w:sz w:val="22"/>
          <w:szCs w:val="22"/>
          <w:highlight w:val="lightGray"/>
        </w:rPr>
        <w:t>nom</w:t>
      </w:r>
      <w:proofErr w:type="gramEnd"/>
      <w:r>
        <w:rPr>
          <w:rFonts w:ascii="Arial" w:hAnsi="Arial" w:cs="Arial"/>
          <w:color w:val="141414"/>
          <w:sz w:val="22"/>
          <w:szCs w:val="22"/>
          <w:highlight w:val="lightGray"/>
        </w:rPr>
        <w:t xml:space="preserve"> du produit</w:t>
      </w:r>
      <w:r>
        <w:rPr>
          <w:rFonts w:ascii="Arial" w:hAnsi="Arial" w:cs="Arial"/>
          <w:color w:val="141414"/>
          <w:sz w:val="22"/>
          <w:szCs w:val="22"/>
        </w:rPr>
        <w:t xml:space="preserve"> </w:t>
      </w:r>
    </w:p>
    <w:p w:rsidR="004767BA" w:rsidRDefault="00660C03">
      <w:pPr>
        <w:jc w:val="center"/>
      </w:pPr>
      <w:proofErr w:type="gramStart"/>
      <w:r>
        <w:rPr>
          <w:rFonts w:ascii="Arial" w:hAnsi="Arial" w:cs="Arial"/>
          <w:color w:val="141414"/>
          <w:sz w:val="22"/>
          <w:szCs w:val="22"/>
        </w:rPr>
        <w:t>émis</w:t>
      </w:r>
      <w:proofErr w:type="gramEnd"/>
      <w:r>
        <w:rPr>
          <w:rFonts w:ascii="Arial" w:hAnsi="Arial" w:cs="Arial"/>
          <w:color w:val="141414"/>
          <w:sz w:val="22"/>
          <w:szCs w:val="22"/>
        </w:rPr>
        <w:t xml:space="preserve"> par </w:t>
      </w:r>
      <w:r>
        <w:rPr>
          <w:rFonts w:ascii="Arial" w:hAnsi="Arial" w:cs="Arial"/>
          <w:color w:val="141414"/>
          <w:sz w:val="22"/>
          <w:szCs w:val="22"/>
          <w:highlight w:val="lightGray"/>
        </w:rPr>
        <w:t>nom émetteur</w:t>
      </w:r>
      <w:r>
        <w:rPr>
          <w:rFonts w:ascii="Arial" w:hAnsi="Arial" w:cs="Arial"/>
          <w:color w:val="141414"/>
          <w:sz w:val="22"/>
          <w:szCs w:val="22"/>
        </w:rPr>
        <w:t xml:space="preserve"> </w:t>
      </w:r>
    </w:p>
    <w:p w:rsidR="004767BA" w:rsidRDefault="004767BA">
      <w:pPr>
        <w:jc w:val="center"/>
        <w:rPr>
          <w:rFonts w:ascii="Arial" w:hAnsi="Arial" w:cs="Arial"/>
          <w:color w:val="141414"/>
          <w:sz w:val="22"/>
          <w:szCs w:val="22"/>
        </w:rPr>
      </w:pPr>
    </w:p>
    <w:p w:rsidR="004767BA" w:rsidRDefault="00660C03">
      <w:pPr>
        <w:jc w:val="center"/>
        <w:rPr>
          <w:rFonts w:ascii="Arial" w:hAnsi="Arial" w:cs="Arial"/>
          <w:i/>
          <w:iCs/>
          <w:color w:val="141414"/>
          <w:sz w:val="22"/>
          <w:szCs w:val="22"/>
        </w:rPr>
      </w:pPr>
      <w:r>
        <w:rPr>
          <w:rFonts w:ascii="Arial" w:hAnsi="Arial" w:cs="Arial"/>
          <w:i/>
          <w:iCs/>
          <w:color w:val="141414"/>
          <w:sz w:val="22"/>
          <w:szCs w:val="22"/>
        </w:rPr>
        <w:t>Fiche d’informations obligation</w:t>
      </w:r>
    </w:p>
    <w:p w:rsidR="004767BA" w:rsidRDefault="004767BA">
      <w:pPr>
        <w:jc w:val="left"/>
        <w:rPr>
          <w:rFonts w:ascii="Arial" w:hAnsi="Arial" w:cs="Arial"/>
          <w:color w:val="141414"/>
          <w:sz w:val="22"/>
          <w:szCs w:val="22"/>
        </w:rPr>
      </w:pPr>
    </w:p>
    <w:p w:rsidR="004767BA" w:rsidRDefault="00660C03">
      <w:pPr>
        <w:pStyle w:val="Titre1"/>
        <w:keepLines w:val="0"/>
        <w:numPr>
          <w:ilvl w:val="0"/>
          <w:numId w:val="2"/>
        </w:numPr>
        <w:tabs>
          <w:tab w:val="left" w:pos="-1080"/>
        </w:tabs>
        <w:spacing w:before="0"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Nature de l'investissement</w:t>
      </w:r>
    </w:p>
    <w:p w:rsidR="004767BA" w:rsidRDefault="004767BA">
      <w:pPr>
        <w:rPr>
          <w:lang w:val="fr-BE"/>
        </w:rPr>
      </w:pPr>
    </w:p>
    <w:p w:rsidR="004767BA" w:rsidRDefault="00660C03">
      <w:pPr>
        <w:jc w:val="left"/>
        <w:rPr>
          <w:rFonts w:ascii="Arial" w:hAnsi="Arial" w:cs="Arial"/>
          <w:color w:val="141414"/>
          <w:sz w:val="22"/>
          <w:szCs w:val="22"/>
        </w:rPr>
      </w:pPr>
      <w:r>
        <w:rPr>
          <w:rFonts w:ascii="Arial" w:hAnsi="Arial" w:cs="Arial"/>
          <w:color w:val="141414"/>
          <w:sz w:val="22"/>
          <w:szCs w:val="22"/>
        </w:rPr>
        <w:t>En achetant ce produit d'investissement, qui est une obligation, l'investisseur prête de l'argent à l'émetteur qui s’engage à</w:t>
      </w:r>
      <w:r>
        <w:rPr>
          <w:rFonts w:ascii="Arial" w:hAnsi="Arial" w:cs="Arial"/>
          <w:color w:val="141414"/>
          <w:sz w:val="22"/>
          <w:szCs w:val="22"/>
        </w:rPr>
        <w:t xml:space="preserve"> rembourser le capital investi (</w:t>
      </w:r>
      <w:r>
        <w:rPr>
          <w:rFonts w:ascii="Arial" w:hAnsi="Arial" w:cs="Arial"/>
          <w:color w:val="141414"/>
          <w:sz w:val="22"/>
          <w:szCs w:val="22"/>
          <w:shd w:val="clear" w:color="auto" w:fill="D9D9D9"/>
        </w:rPr>
        <w:t>hors frais</w:t>
      </w:r>
      <w:r>
        <w:rPr>
          <w:rFonts w:ascii="Arial" w:hAnsi="Arial" w:cs="Arial"/>
          <w:color w:val="141414"/>
          <w:sz w:val="22"/>
          <w:szCs w:val="22"/>
        </w:rPr>
        <w:t>) à l'échéance finale et à payer un coupon annuel. En cas de défaut (par ex. faillite) de l'émetteur, l'investisseur risque de ne pas récupérer les sommes auxquelles il a droit et de perdre le capital investi.</w:t>
      </w:r>
    </w:p>
    <w:p w:rsidR="004767BA" w:rsidRDefault="004767BA">
      <w:pPr>
        <w:jc w:val="left"/>
        <w:rPr>
          <w:rFonts w:ascii="Arial" w:hAnsi="Arial" w:cs="Arial"/>
          <w:color w:val="141414"/>
          <w:sz w:val="22"/>
          <w:szCs w:val="22"/>
        </w:rPr>
      </w:pPr>
    </w:p>
    <w:tbl>
      <w:tblPr>
        <w:tblW w:w="94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6302"/>
      </w:tblGrid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Éme</w:t>
            </w:r>
            <w:r>
              <w:rPr>
                <w:rFonts w:ascii="Arial" w:hAnsi="Arial" w:cs="Arial"/>
                <w:sz w:val="22"/>
                <w:szCs w:val="22"/>
              </w:rPr>
              <w:t>tteur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Montant des coupures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 euros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Prix d’émission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100 %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Période de souscription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Entre le… et le …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d’émission et de paiement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d’échéance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</w:p>
        </w:tc>
      </w:tr>
      <w:tr w:rsidR="004767BA">
        <w:tc>
          <w:tcPr>
            <w:tcW w:w="9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Droit au remboursement à 100 % du capital investi à l’échéance, sauf en cas </w:t>
            </w:r>
            <w:r>
              <w:rPr>
                <w:rFonts w:ascii="Arial" w:hAnsi="Arial" w:cs="Arial"/>
                <w:sz w:val="22"/>
                <w:szCs w:val="22"/>
              </w:rPr>
              <w:t>de faillite ou de défaut de paiement.</w:t>
            </w:r>
          </w:p>
        </w:tc>
      </w:tr>
    </w:tbl>
    <w:p w:rsidR="004767BA" w:rsidRDefault="004767BA">
      <w:pPr>
        <w:pStyle w:val="Paragraphedeliste"/>
        <w:ind w:left="0"/>
        <w:jc w:val="left"/>
        <w:rPr>
          <w:rFonts w:ascii="Arial" w:hAnsi="Arial" w:cs="Arial"/>
          <w:sz w:val="22"/>
          <w:szCs w:val="22"/>
        </w:rPr>
      </w:pPr>
    </w:p>
    <w:p w:rsidR="004767BA" w:rsidRDefault="00660C03">
      <w:pPr>
        <w:pStyle w:val="Titre1"/>
        <w:keepLines w:val="0"/>
        <w:numPr>
          <w:ilvl w:val="0"/>
          <w:numId w:val="2"/>
        </w:numPr>
        <w:tabs>
          <w:tab w:val="left" w:pos="-1080"/>
        </w:tabs>
        <w:spacing w:before="0"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Politique d'investissement</w:t>
      </w:r>
    </w:p>
    <w:p w:rsidR="004767BA" w:rsidRDefault="004767BA">
      <w:pPr>
        <w:rPr>
          <w:lang w:val="fr-BE"/>
        </w:rPr>
      </w:pPr>
    </w:p>
    <w:tbl>
      <w:tblPr>
        <w:tblW w:w="94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6302"/>
      </w:tblGrid>
      <w:tr w:rsidR="004767BA">
        <w:tc>
          <w:tcPr>
            <w:tcW w:w="9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Paragraphedeliste"/>
              <w:ind w:left="57"/>
              <w:contextualSpacing/>
            </w:pPr>
            <w:r>
              <w:rPr>
                <w:rFonts w:ascii="Arial" w:hAnsi="Arial" w:cs="Arial"/>
                <w:color w:val="141414"/>
                <w:sz w:val="22"/>
                <w:szCs w:val="22"/>
              </w:rPr>
              <w:t xml:space="preserve">Possibilité de remboursement anticipé : </w:t>
            </w:r>
            <w:proofErr w:type="spellStart"/>
            <w:r>
              <w:rPr>
                <w:rFonts w:ascii="Arial" w:hAnsi="Arial" w:cs="Arial"/>
                <w:color w:val="141414"/>
                <w:sz w:val="22"/>
                <w:szCs w:val="22"/>
                <w:highlight w:val="lightGray"/>
              </w:rPr>
              <w:t>n.</w:t>
            </w:r>
            <w:r>
              <w:rPr>
                <w:rFonts w:ascii="Arial" w:hAnsi="Arial" w:cs="Arial"/>
                <w:color w:val="141414"/>
                <w:sz w:val="22"/>
                <w:szCs w:val="22"/>
                <w:highlight w:val="lightGray"/>
              </w:rPr>
              <w:t>a</w:t>
            </w:r>
            <w:proofErr w:type="spellEnd"/>
            <w:r>
              <w:rPr>
                <w:rFonts w:ascii="Arial" w:hAnsi="Arial" w:cs="Arial"/>
                <w:color w:val="141414"/>
                <w:sz w:val="22"/>
                <w:szCs w:val="22"/>
                <w:highlight w:val="lightGray"/>
              </w:rPr>
              <w:t>. / conditions et modalités du remboursement anticipé (</w:t>
            </w:r>
            <w:r>
              <w:rPr>
                <w:rFonts w:ascii="Arial" w:hAnsi="Arial" w:cs="Arial"/>
                <w:b/>
                <w:bCs/>
                <w:color w:val="141414"/>
                <w:sz w:val="22"/>
                <w:szCs w:val="22"/>
                <w:highlight w:val="lightGray"/>
              </w:rPr>
              <w:t>exemple</w:t>
            </w:r>
            <w:r>
              <w:rPr>
                <w:rFonts w:ascii="Arial" w:hAnsi="Arial" w:cs="Arial"/>
                <w:color w:val="141414"/>
                <w:sz w:val="22"/>
                <w:szCs w:val="22"/>
                <w:highlight w:val="lightGray"/>
              </w:rPr>
              <w:t xml:space="preserve"> : L’émetteur se réserve le droit, à tout moment, de racheter ou faire racheter </w:t>
            </w:r>
            <w:r>
              <w:rPr>
                <w:rFonts w:ascii="Arial" w:hAnsi="Arial" w:cs="Arial"/>
                <w:color w:val="141414"/>
                <w:sz w:val="22"/>
                <w:szCs w:val="22"/>
                <w:highlight w:val="lightGray"/>
              </w:rPr>
              <w:t>pour son compte tout ou partie des obligations, et d'annuler et/ou de revendre ultérieurement les obligations ainsi rachetées, sans préjudice des dispositions légales applicables. Les obligations ainsi rachetées par l’émetteur avant leur date de remboursem</w:t>
            </w:r>
            <w:r>
              <w:rPr>
                <w:rFonts w:ascii="Arial" w:hAnsi="Arial" w:cs="Arial"/>
                <w:color w:val="141414"/>
                <w:sz w:val="22"/>
                <w:szCs w:val="22"/>
                <w:highlight w:val="lightGray"/>
              </w:rPr>
              <w:t>ent final, seront remboursées à leur valeur nominale majorée des intérêts dus jusqu’à la date de ce remboursement anticipé.)</w:t>
            </w:r>
            <w:r>
              <w:rPr>
                <w:rFonts w:ascii="Arial" w:hAnsi="Arial" w:cs="Arial"/>
                <w:color w:val="141414"/>
                <w:sz w:val="22"/>
                <w:szCs w:val="22"/>
              </w:rPr>
              <w:t xml:space="preserve"> 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Coupon 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Indication du coupon et de ses conditions et modalités de paiement.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Rendement actuariel brut (avant précompte mobilier)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 %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Rendement actuariel net (après précompte mobilier)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 %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Statuts des obligations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Indiquer toute subordination juridique ou de fait</w:t>
            </w:r>
          </w:p>
        </w:tc>
      </w:tr>
    </w:tbl>
    <w:p w:rsidR="004767BA" w:rsidRDefault="004767BA">
      <w:pPr>
        <w:pStyle w:val="Paragraphedeliste"/>
        <w:ind w:left="0"/>
        <w:jc w:val="left"/>
        <w:rPr>
          <w:rFonts w:ascii="Arial" w:eastAsia="Arial" w:hAnsi="Arial" w:cs="Arial"/>
          <w:b/>
          <w:bCs/>
          <w:color w:val="365F91"/>
          <w:sz w:val="22"/>
          <w:szCs w:val="22"/>
          <w:lang w:val="fr-BE"/>
        </w:rPr>
      </w:pPr>
    </w:p>
    <w:p w:rsidR="004767BA" w:rsidRDefault="00660C03">
      <w:pPr>
        <w:pStyle w:val="Titre1"/>
        <w:keepLines w:val="0"/>
        <w:numPr>
          <w:ilvl w:val="0"/>
          <w:numId w:val="2"/>
        </w:numPr>
        <w:tabs>
          <w:tab w:val="left" w:pos="-1080"/>
        </w:tabs>
        <w:spacing w:before="0"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Description et but de l'offre</w:t>
      </w:r>
    </w:p>
    <w:p w:rsidR="004767BA" w:rsidRDefault="004767BA">
      <w:pPr>
        <w:rPr>
          <w:lang w:val="fr-BE"/>
        </w:rPr>
      </w:pPr>
    </w:p>
    <w:tbl>
      <w:tblPr>
        <w:tblW w:w="94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6302"/>
      </w:tblGrid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Montant minimum de l’offre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Titredetablea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highlight w:val="lightGray"/>
              </w:rPr>
              <w:t>… [si pas atteint remboursé sans frais]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</w:pPr>
            <w:r>
              <w:rPr>
                <w:rFonts w:ascii="Arial" w:hAnsi="Arial" w:cs="Arial"/>
                <w:sz w:val="22"/>
                <w:szCs w:val="22"/>
              </w:rPr>
              <w:t>Montant maximum</w:t>
            </w:r>
            <w:r>
              <w:rPr>
                <w:rFonts w:ascii="Arial" w:hAnsi="Arial" w:cs="Arial"/>
                <w:sz w:val="22"/>
                <w:szCs w:val="22"/>
              </w:rPr>
              <w:t xml:space="preserve"> de l’offre</w:t>
            </w:r>
            <w:r>
              <w:rPr>
                <w:rStyle w:val="Ancredenotedebasdepage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Affectation du produit par l’émetteur : 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Brève description de l’affectation principale 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Remboursement de l’obligation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Sur fonds propres ou refinancement 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Allocation en cas de sursouscription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Brève description de la procédure l’allocation (exemples de procédure : « L’émetteur répartira les obligations entre les souscriptions en fonction de leur date en commençant par les plus anciennes » / « L’émetteur répartira les obligations entres les sousc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riptions en appliquant une réduction proportionnelle afin de servir un maximum d’investisseurs. ») </w:t>
            </w:r>
          </w:p>
        </w:tc>
      </w:tr>
    </w:tbl>
    <w:p w:rsidR="004767BA" w:rsidRDefault="00660C03">
      <w:pPr>
        <w:pStyle w:val="Paragraphedeliste"/>
        <w:ind w:left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41414"/>
          <w:sz w:val="22"/>
          <w:szCs w:val="22"/>
          <w:shd w:val="clear" w:color="auto" w:fill="D9D9D9"/>
        </w:rPr>
        <w:t xml:space="preserve">                   </w:t>
      </w:r>
    </w:p>
    <w:p w:rsidR="004767BA" w:rsidRDefault="00660C03">
      <w:pPr>
        <w:pStyle w:val="Titre1"/>
        <w:keepLines w:val="0"/>
        <w:numPr>
          <w:ilvl w:val="0"/>
          <w:numId w:val="2"/>
        </w:numPr>
        <w:tabs>
          <w:tab w:val="left" w:pos="-1080"/>
        </w:tabs>
        <w:spacing w:before="0"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Description et chiffres-clés de l'émetteur </w:t>
      </w:r>
    </w:p>
    <w:p w:rsidR="004767BA" w:rsidRDefault="004767BA">
      <w:pPr>
        <w:rPr>
          <w:lang w:val="fr-BE"/>
        </w:rPr>
      </w:pPr>
    </w:p>
    <w:tbl>
      <w:tblPr>
        <w:tblStyle w:val="Grilledutableau"/>
        <w:tblW w:w="9352" w:type="dxa"/>
        <w:tblInd w:w="48" w:type="dxa"/>
        <w:tblCellMar>
          <w:top w:w="55" w:type="dxa"/>
          <w:left w:w="6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6"/>
        <w:gridCol w:w="2123"/>
        <w:gridCol w:w="5153"/>
      </w:tblGrid>
      <w:tr w:rsidR="004767BA">
        <w:tc>
          <w:tcPr>
            <w:tcW w:w="93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lang w:bidi="hi-IN"/>
              </w:rPr>
            </w:pP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 xml:space="preserve">Brève description de l’émetteur et de ses activités (objet social, historique, </w:t>
            </w: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>activités...)</w:t>
            </w:r>
          </w:p>
        </w:tc>
      </w:tr>
      <w:tr w:rsidR="004767BA">
        <w:tc>
          <w:tcPr>
            <w:tcW w:w="93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eastAsia="Droid Sans Fallback" w:hAnsi="Arial" w:cs="Arial"/>
                <w:sz w:val="22"/>
              </w:rPr>
            </w:pPr>
            <w:r>
              <w:rPr>
                <w:rFonts w:ascii="Arial" w:eastAsia="Droid Sans Fallback" w:hAnsi="Arial" w:cs="Arial"/>
                <w:sz w:val="22"/>
                <w:lang w:bidi="hi-IN"/>
              </w:rPr>
              <w:t>…</w:t>
            </w:r>
          </w:p>
        </w:tc>
      </w:tr>
      <w:tr w:rsidR="004767BA">
        <w:tc>
          <w:tcPr>
            <w:tcW w:w="93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>Chiffres-clés de l’émetteur : (N.A. si start-up)</w:t>
            </w:r>
          </w:p>
        </w:tc>
      </w:tr>
      <w:tr w:rsidR="004767BA">
        <w:trPr>
          <w:trHeight w:val="169"/>
        </w:trPr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4767BA">
            <w:pPr>
              <w:pStyle w:val="Contenudetableau"/>
              <w:rPr>
                <w:rFonts w:ascii="Arial" w:eastAsia="Droid Sans Fallback" w:hAnsi="Arial" w:cs="Arial"/>
                <w:sz w:val="22"/>
                <w:lang w:bidi="hi-IN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7BA" w:rsidRDefault="004767BA">
            <w:pPr>
              <w:pStyle w:val="Contenudetableau"/>
              <w:rPr>
                <w:rFonts w:ascii="Arial" w:eastAsia="Droid Sans Fallback" w:hAnsi="Arial" w:cs="Arial"/>
                <w:sz w:val="22"/>
                <w:lang w:bidi="hi-IN"/>
              </w:rPr>
            </w:pPr>
          </w:p>
        </w:tc>
        <w:tc>
          <w:tcPr>
            <w:tcW w:w="5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660C03">
            <w:pPr>
              <w:pStyle w:val="Contenudetableau"/>
              <w:rPr>
                <w:rFonts w:ascii="Arial" w:eastAsia="Droid Sans Fallback" w:hAnsi="Arial" w:cs="Arial"/>
                <w:sz w:val="22"/>
                <w:szCs w:val="22"/>
              </w:rPr>
            </w:pPr>
            <w:r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  <w:t>Année n-1</w:t>
            </w:r>
            <w:r>
              <w:rPr>
                <w:rFonts w:ascii="Arial" w:eastAsia="Droid Sans Fallback" w:hAnsi="Arial" w:cs="Arial"/>
                <w:sz w:val="22"/>
                <w:lang w:bidi="hi-IN"/>
              </w:rPr>
              <w:t xml:space="preserve"> (en €)</w:t>
            </w:r>
          </w:p>
        </w:tc>
      </w:tr>
      <w:tr w:rsidR="004767BA">
        <w:tc>
          <w:tcPr>
            <w:tcW w:w="207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660C03">
            <w:pPr>
              <w:pStyle w:val="Contenudetableau"/>
              <w:rPr>
                <w:rFonts w:ascii="Arial" w:eastAsia="Droid Sans Fallback" w:hAnsi="Arial" w:cs="Arial"/>
                <w:sz w:val="22"/>
                <w:szCs w:val="22"/>
              </w:rPr>
            </w:pP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>Bilan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lightGray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bidi="hi-IN"/>
              </w:rPr>
              <w:t>Capitaux propres ou fonds social</w:t>
            </w:r>
          </w:p>
        </w:tc>
        <w:tc>
          <w:tcPr>
            <w:tcW w:w="5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660C03">
            <w:pPr>
              <w:pStyle w:val="Contenudetableau"/>
              <w:jc w:val="right"/>
              <w:rPr>
                <w:lang w:bidi="hi-IN"/>
              </w:rPr>
            </w:pPr>
            <w:r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  <w:t>(PCN 10/15)</w:t>
            </w:r>
          </w:p>
        </w:tc>
      </w:tr>
      <w:tr w:rsidR="004767BA">
        <w:tc>
          <w:tcPr>
            <w:tcW w:w="20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4767BA">
            <w:pPr>
              <w:pStyle w:val="Contenudetableau"/>
              <w:rPr>
                <w:rFonts w:ascii="Arial" w:eastAsia="Droid Sans Fallback" w:hAnsi="Arial" w:cs="Arial"/>
                <w:sz w:val="22"/>
                <w:lang w:bidi="hi-IN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>Endettement</w:t>
            </w:r>
          </w:p>
        </w:tc>
        <w:tc>
          <w:tcPr>
            <w:tcW w:w="5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660C03">
            <w:pPr>
              <w:pStyle w:val="Contenudetableau"/>
              <w:jc w:val="right"/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</w:pPr>
            <w:r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  <w:t>(PCN 17/49 ou total PCN 17 et 42 à 48)</w:t>
            </w:r>
          </w:p>
        </w:tc>
      </w:tr>
      <w:tr w:rsidR="004767BA">
        <w:tc>
          <w:tcPr>
            <w:tcW w:w="207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660C03">
            <w:pPr>
              <w:pStyle w:val="Contenudetableau"/>
              <w:rPr>
                <w:lang w:bidi="hi-IN"/>
              </w:rPr>
            </w:pP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>Compte de résultat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lang w:bidi="hi-IN"/>
              </w:rPr>
            </w:pP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>Chiffre d’affaires</w:t>
            </w:r>
          </w:p>
        </w:tc>
        <w:tc>
          <w:tcPr>
            <w:tcW w:w="5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660C03">
            <w:pPr>
              <w:pStyle w:val="Contenudetableau"/>
              <w:jc w:val="right"/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</w:pPr>
            <w:r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  <w:t>(PCN 70)</w:t>
            </w:r>
          </w:p>
        </w:tc>
      </w:tr>
      <w:tr w:rsidR="004767BA">
        <w:tc>
          <w:tcPr>
            <w:tcW w:w="207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4767BA">
            <w:pPr>
              <w:pStyle w:val="Contenudetableau"/>
              <w:rPr>
                <w:rFonts w:ascii="Arial" w:eastAsia="Droid Sans Fallback" w:hAnsi="Arial" w:cs="Arial"/>
                <w:sz w:val="22"/>
                <w:highlight w:val="green"/>
                <w:lang w:bidi="hi-IN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lang w:bidi="hi-IN"/>
              </w:rPr>
            </w:pP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 xml:space="preserve">Total des </w:t>
            </w: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>charges</w:t>
            </w:r>
          </w:p>
        </w:tc>
        <w:tc>
          <w:tcPr>
            <w:tcW w:w="5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660C03">
            <w:pPr>
              <w:pStyle w:val="Contenudetableau"/>
              <w:jc w:val="right"/>
              <w:rPr>
                <w:rFonts w:ascii="Arial" w:eastAsia="Droid Sans Fallback" w:hAnsi="Arial" w:cs="Arial"/>
                <w:sz w:val="22"/>
                <w:highlight w:val="lightGray"/>
              </w:rPr>
            </w:pPr>
            <w:r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  <w:t>(Total PCN 60 à 64)</w:t>
            </w:r>
          </w:p>
        </w:tc>
      </w:tr>
      <w:tr w:rsidR="004767BA">
        <w:tc>
          <w:tcPr>
            <w:tcW w:w="207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4767BA">
            <w:pPr>
              <w:pStyle w:val="Contenudetableau"/>
              <w:rPr>
                <w:rFonts w:ascii="Arial" w:eastAsia="Droid Sans Fallback" w:hAnsi="Arial" w:cs="Arial"/>
                <w:sz w:val="22"/>
                <w:highlight w:val="green"/>
                <w:lang w:bidi="hi-IN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>Amortissements</w:t>
            </w:r>
          </w:p>
        </w:tc>
        <w:tc>
          <w:tcPr>
            <w:tcW w:w="5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660C03">
            <w:pPr>
              <w:pStyle w:val="Contenudetableau"/>
              <w:jc w:val="right"/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</w:pPr>
            <w:r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  <w:t>(PCN 630)</w:t>
            </w:r>
          </w:p>
        </w:tc>
      </w:tr>
      <w:tr w:rsidR="004767BA">
        <w:tc>
          <w:tcPr>
            <w:tcW w:w="20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4767BA">
            <w:pPr>
              <w:pStyle w:val="Contenudetableau"/>
              <w:rPr>
                <w:rFonts w:ascii="Arial" w:eastAsia="Droid Sans Fallback" w:hAnsi="Arial" w:cs="Arial"/>
                <w:sz w:val="22"/>
                <w:highlight w:val="green"/>
                <w:lang w:bidi="hi-IN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lang w:bidi="hi-IN"/>
              </w:rPr>
            </w:pPr>
            <w:r>
              <w:rPr>
                <w:rFonts w:ascii="Arial" w:eastAsia="Droid Sans Fallback" w:hAnsi="Arial" w:cs="Arial"/>
                <w:sz w:val="22"/>
                <w:szCs w:val="22"/>
                <w:lang w:bidi="hi-IN"/>
              </w:rPr>
              <w:t>Bénéfice (Perte) de l’exercice avant impôts</w:t>
            </w:r>
          </w:p>
        </w:tc>
        <w:tc>
          <w:tcPr>
            <w:tcW w:w="5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767BA" w:rsidRDefault="00660C03">
            <w:pPr>
              <w:pStyle w:val="Contenudetableau"/>
              <w:jc w:val="right"/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</w:pPr>
            <w:r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  <w:t>(PCN 9903 pour les ASBL et 9904 pour les sociétés)</w:t>
            </w:r>
          </w:p>
        </w:tc>
      </w:tr>
    </w:tbl>
    <w:p w:rsidR="004767BA" w:rsidRDefault="004767BA">
      <w:pPr>
        <w:jc w:val="left"/>
        <w:rPr>
          <w:rFonts w:ascii="Arial" w:hAnsi="Arial" w:cs="Arial"/>
          <w:color w:val="141414"/>
          <w:sz w:val="22"/>
          <w:szCs w:val="22"/>
        </w:rPr>
      </w:pPr>
    </w:p>
    <w:p w:rsidR="004767BA" w:rsidRDefault="00660C03">
      <w:pPr>
        <w:pStyle w:val="Titre1"/>
        <w:keepLines w:val="0"/>
        <w:numPr>
          <w:ilvl w:val="0"/>
          <w:numId w:val="2"/>
        </w:numPr>
        <w:tabs>
          <w:tab w:val="left" w:pos="-1080"/>
        </w:tabs>
        <w:spacing w:before="0"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Durée</w:t>
      </w:r>
    </w:p>
    <w:p w:rsidR="004767BA" w:rsidRDefault="004767BA">
      <w:pPr>
        <w:rPr>
          <w:lang w:val="fr-BE"/>
        </w:rPr>
      </w:pPr>
    </w:p>
    <w:tbl>
      <w:tblPr>
        <w:tblW w:w="94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6302"/>
      </w:tblGrid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41414"/>
                <w:sz w:val="22"/>
                <w:szCs w:val="22"/>
              </w:rPr>
              <w:t>Durée de l'investissement 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  <w:t>…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41414"/>
                <w:sz w:val="22"/>
                <w:szCs w:val="22"/>
              </w:rPr>
              <w:t>Possibilité de remboursement anticipé 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41414"/>
                <w:sz w:val="22"/>
                <w:szCs w:val="22"/>
                <w:shd w:val="clear" w:color="auto" w:fill="D9D9D9"/>
              </w:rPr>
              <w:t xml:space="preserve">conditions et modalités </w:t>
            </w:r>
            <w:r>
              <w:rPr>
                <w:rFonts w:ascii="Arial" w:hAnsi="Arial" w:cs="Arial"/>
                <w:color w:val="141414"/>
                <w:sz w:val="22"/>
                <w:szCs w:val="22"/>
                <w:shd w:val="clear" w:color="auto" w:fill="D9D9D9"/>
              </w:rPr>
              <w:t>du remboursement anticipé</w:t>
            </w:r>
          </w:p>
        </w:tc>
      </w:tr>
      <w:tr w:rsidR="004767BA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Possibilité de sortie anticipée à l’initiative de l’investisseur :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nom de l'émetteur s'engage à racheter le produit d'investissement, à un prix qu'il détermine en fonction des paramètres de marché du moment qui pourraient amener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à un prix (hors frais de courtage et taxe sur opérations de bourse) inférieur au capital investi / ne s'engage pas à racheter le produit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d'investissement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767BA" w:rsidRDefault="004767BA">
      <w:pPr>
        <w:pStyle w:val="Paragraphedeliste"/>
        <w:ind w:left="0"/>
        <w:jc w:val="left"/>
        <w:rPr>
          <w:rFonts w:ascii="Arial" w:hAnsi="Arial" w:cs="Arial"/>
          <w:sz w:val="22"/>
          <w:szCs w:val="22"/>
        </w:rPr>
      </w:pPr>
    </w:p>
    <w:p w:rsidR="004767BA" w:rsidRDefault="00660C03">
      <w:pPr>
        <w:pStyle w:val="Titre1"/>
        <w:keepLines w:val="0"/>
        <w:numPr>
          <w:ilvl w:val="0"/>
          <w:numId w:val="2"/>
        </w:numPr>
        <w:tabs>
          <w:tab w:val="left" w:pos="-1080"/>
        </w:tabs>
        <w:spacing w:before="0"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Risques de l'investissement</w:t>
      </w:r>
    </w:p>
    <w:p w:rsidR="004767BA" w:rsidRDefault="004767BA">
      <w:pPr>
        <w:rPr>
          <w:lang w:val="fr-BE"/>
        </w:rPr>
      </w:pPr>
    </w:p>
    <w:tbl>
      <w:tblPr>
        <w:tblW w:w="941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4767BA"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Risque de crédit :</w:t>
            </w:r>
          </w:p>
          <w:p w:rsidR="004767BA" w:rsidRDefault="00660C03">
            <w:pPr>
              <w:pStyle w:val="Listenabsatz1"/>
              <w:ind w:left="0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Le ratio de solvabilité (montant de fonds propres </w:t>
            </w: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>divisé par le total du bilan) permet d’estimer la proportion des fonds propres par rapport aux fonds étrangers.</w:t>
            </w:r>
          </w:p>
          <w:p w:rsidR="004767BA" w:rsidRDefault="00660C03">
            <w:pPr>
              <w:pStyle w:val="Contenudetableau"/>
              <w:contextualSpacing/>
              <w:jc w:val="lef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En règle générale, on considère qu'une entreprises est solvable dès lors que la part des fonds propres dans le total bilan est égale ou supérieu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re à 20 %.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Listenabsatz1"/>
              <w:ind w:left="0"/>
              <w:contextualSpacing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C03">
              <w:rPr>
                <w:rFonts w:ascii="Arial" w:hAnsi="Arial" w:cs="Arial"/>
                <w:sz w:val="22"/>
                <w:szCs w:val="22"/>
              </w:rPr>
              <w:t xml:space="preserve">Le ratio de solvabilité </w:t>
            </w:r>
            <w:r>
              <w:rPr>
                <w:rFonts w:ascii="Arial" w:hAnsi="Arial" w:cs="Arial"/>
                <w:sz w:val="22"/>
                <w:szCs w:val="22"/>
              </w:rPr>
              <w:t xml:space="preserve">est de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 xml:space="preserve"> au [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]. </w:t>
            </w:r>
          </w:p>
          <w:p w:rsidR="004767BA" w:rsidRDefault="004767BA">
            <w:pPr>
              <w:pStyle w:val="Contenudetableau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</w:tc>
      </w:tr>
      <w:tr w:rsidR="004767BA"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Risque de liquidité :</w:t>
            </w:r>
          </w:p>
          <w:p w:rsidR="004767BA" w:rsidRDefault="00660C03">
            <w:pPr>
              <w:widowControl/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ratio de liquidité général (actifs circulants divisés par dettes à court </w:t>
            </w:r>
            <w:r>
              <w:rPr>
                <w:rFonts w:ascii="Arial" w:hAnsi="Arial" w:cs="Arial"/>
                <w:sz w:val="22"/>
                <w:szCs w:val="22"/>
              </w:rPr>
              <w:t>terme) permet d’estimer la capacité de la structure à régler ses dettes à court terme.</w:t>
            </w:r>
          </w:p>
          <w:p w:rsidR="004767BA" w:rsidRDefault="00660C03">
            <w:pPr>
              <w:pStyle w:val="Contenudetableau"/>
              <w:widowControl/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fr-BE" w:eastAsia="fr-BE"/>
              </w:rPr>
              <w:t>Pour une entreprise commerciale, il est jugé correct à partir de 1.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widowControl/>
              <w:suppressAutoHyphens w:val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Le ratio de liquidité </w:t>
            </w:r>
            <w:r>
              <w:rPr>
                <w:rFonts w:ascii="Arial" w:hAnsi="Arial" w:cs="Arial"/>
                <w:sz w:val="22"/>
                <w:szCs w:val="22"/>
              </w:rPr>
              <w:t xml:space="preserve">est de 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XX</w:t>
            </w:r>
            <w:r>
              <w:rPr>
                <w:rFonts w:ascii="Arial" w:hAnsi="Arial" w:cs="Arial"/>
                <w:sz w:val="22"/>
                <w:szCs w:val="22"/>
              </w:rPr>
              <w:t xml:space="preserve"> au [</w: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].</w:t>
            </w:r>
          </w:p>
          <w:p w:rsidR="004767BA" w:rsidRPr="00660C03" w:rsidRDefault="004767BA">
            <w:pPr>
              <w:pStyle w:val="Contenudetableau"/>
              <w:widowControl/>
              <w:suppressAutoHyphens w:val="0"/>
              <w:jc w:val="left"/>
              <w:rPr>
                <w:rFonts w:ascii="Arial" w:hAnsi="Arial" w:cs="Arial"/>
                <w:i/>
                <w:kern w:val="0"/>
                <w:sz w:val="22"/>
                <w:szCs w:val="22"/>
                <w:lang w:eastAsia="fr-BE"/>
              </w:rPr>
            </w:pPr>
          </w:p>
        </w:tc>
      </w:tr>
      <w:tr w:rsidR="004767BA"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Risque de second rang 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Les obligations et leurs intérêts constituent des engagements directs et généraux qui viennent en second rang après tous les créanciers privilégiés et disposant de garantie. </w:t>
            </w:r>
          </w:p>
        </w:tc>
      </w:tr>
      <w:tr w:rsidR="004767BA">
        <w:trPr>
          <w:trHeight w:val="433"/>
        </w:trPr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Risque de remboursement anticipé 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</w:p>
        </w:tc>
      </w:tr>
      <w:tr w:rsidR="004767BA"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Risques principaux propres à l’émetteur - </w:t>
            </w:r>
            <w:r>
              <w:rPr>
                <w:rFonts w:ascii="Arial" w:hAnsi="Arial" w:cs="Arial"/>
                <w:sz w:val="22"/>
                <w:szCs w:val="22"/>
              </w:rPr>
              <w:t>gouvernance 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(exemples : dépendez-vous de personnes à responsabilité clef ? avez-vous l’expertise dont vous avez besoin ? avez-vous une équipe stable ? avez-vous un encadrement suffisant : CA, AG, comité de conseil interne ou externe ?)</w:t>
            </w:r>
          </w:p>
        </w:tc>
      </w:tr>
      <w:tr w:rsidR="004767BA"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Risques </w:t>
            </w:r>
            <w:r>
              <w:rPr>
                <w:rFonts w:ascii="Arial" w:hAnsi="Arial" w:cs="Arial"/>
                <w:sz w:val="22"/>
                <w:szCs w:val="22"/>
              </w:rPr>
              <w:t>principaux propres à l’émetteur -  opérationnels et commerciaux 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(exemples : quels sont vos risques de développement, de production, de distribution, de ventes, d’infrastructure, de permis, etc. ?)</w:t>
            </w:r>
          </w:p>
        </w:tc>
      </w:tr>
      <w:tr w:rsidR="004767BA"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Risques principaux propres à l’émetteur - liés aux subve</w:t>
            </w:r>
            <w:r>
              <w:rPr>
                <w:rFonts w:ascii="Arial" w:hAnsi="Arial" w:cs="Arial"/>
                <w:sz w:val="22"/>
                <w:szCs w:val="22"/>
              </w:rPr>
              <w:t>ntions 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</w:p>
        </w:tc>
      </w:tr>
      <w:tr w:rsidR="004767BA"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Risque principaux propres à l’émetteur - autres 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bookmarkStart w:id="0" w:name="__DdeLink__4772_741968834"/>
            <w:r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bookmarkEnd w:id="0"/>
          </w:p>
        </w:tc>
      </w:tr>
      <w:tr w:rsidR="004767BA"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Date prévue du break-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even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67BA" w:rsidRDefault="00660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Date à laquelle le niveau d’activité de l’entreprise permet un bénéfice par rapport aux investissements prévus</w:t>
            </w:r>
          </w:p>
        </w:tc>
      </w:tr>
    </w:tbl>
    <w:p w:rsidR="004767BA" w:rsidRDefault="00660C03">
      <w:r>
        <w:rPr>
          <w:rFonts w:ascii="Arial" w:hAnsi="Arial" w:cs="Arial"/>
          <w:color w:val="141414"/>
          <w:sz w:val="22"/>
          <w:szCs w:val="22"/>
        </w:rPr>
        <w:t>Veuillez</w:t>
      </w:r>
      <w:r>
        <w:rPr>
          <w:rFonts w:ascii="Arial" w:hAnsi="Arial" w:cs="Arial"/>
          <w:color w:val="141414"/>
          <w:sz w:val="22"/>
          <w:szCs w:val="22"/>
        </w:rPr>
        <w:t xml:space="preserve"> consulter le plan financier de l’éme</w:t>
      </w:r>
      <w:r>
        <w:rPr>
          <w:rFonts w:ascii="Arial" w:hAnsi="Arial" w:cs="Arial"/>
          <w:color w:val="141414"/>
          <w:sz w:val="22"/>
          <w:szCs w:val="22"/>
        </w:rPr>
        <w:t>tteur pour plus d’informations.</w:t>
      </w:r>
    </w:p>
    <w:p w:rsidR="004767BA" w:rsidRDefault="00660C03">
      <w:pPr>
        <w:pStyle w:val="Paragraphedeliste"/>
        <w:ind w:left="0"/>
        <w:contextualSpacing/>
        <w:jc w:val="left"/>
        <w:rPr>
          <w:rFonts w:ascii="Arial" w:hAnsi="Arial" w:cs="Arial"/>
          <w:color w:val="141414"/>
          <w:sz w:val="22"/>
          <w:szCs w:val="22"/>
        </w:rPr>
      </w:pPr>
      <w:r>
        <w:rPr>
          <w:rFonts w:ascii="Arial" w:hAnsi="Arial" w:cs="Arial"/>
          <w:color w:val="141414"/>
          <w:sz w:val="22"/>
          <w:szCs w:val="22"/>
          <w:shd w:val="clear" w:color="auto" w:fill="D9D9D9"/>
        </w:rPr>
        <w:t xml:space="preserve">                   </w:t>
      </w:r>
    </w:p>
    <w:p w:rsidR="004767BA" w:rsidRDefault="00660C03">
      <w:pPr>
        <w:pStyle w:val="Titre1"/>
        <w:keepLines w:val="0"/>
        <w:numPr>
          <w:ilvl w:val="0"/>
          <w:numId w:val="2"/>
        </w:numPr>
        <w:tabs>
          <w:tab w:val="left" w:pos="-1080"/>
        </w:tabs>
        <w:spacing w:before="0"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Frais</w:t>
      </w:r>
    </w:p>
    <w:p w:rsidR="004767BA" w:rsidRDefault="004767BA">
      <w:pPr>
        <w:rPr>
          <w:lang w:val="fr-BE"/>
        </w:rPr>
      </w:pPr>
    </w:p>
    <w:p w:rsidR="004767BA" w:rsidRDefault="00660C03">
      <w:pPr>
        <w:jc w:val="left"/>
        <w:rPr>
          <w:rFonts w:ascii="Arial" w:hAnsi="Arial" w:cs="Arial"/>
          <w:color w:val="141414"/>
          <w:sz w:val="22"/>
          <w:szCs w:val="22"/>
        </w:rPr>
      </w:pPr>
      <w:r>
        <w:rPr>
          <w:rFonts w:ascii="Arial" w:hAnsi="Arial" w:cs="Arial"/>
          <w:color w:val="141414"/>
          <w:sz w:val="22"/>
          <w:szCs w:val="22"/>
        </w:rPr>
        <w:lastRenderedPageBreak/>
        <w:t>Éventuels frais liés aux obligations.</w:t>
      </w:r>
    </w:p>
    <w:p w:rsidR="004767BA" w:rsidRDefault="004767BA">
      <w:pPr>
        <w:jc w:val="left"/>
        <w:rPr>
          <w:rFonts w:ascii="Arial" w:hAnsi="Arial" w:cs="Arial"/>
          <w:color w:val="141414"/>
          <w:sz w:val="22"/>
          <w:szCs w:val="22"/>
        </w:rPr>
      </w:pPr>
    </w:p>
    <w:p w:rsidR="004767BA" w:rsidRDefault="00660C03">
      <w:pPr>
        <w:pStyle w:val="Titre1"/>
        <w:keepLines w:val="0"/>
        <w:numPr>
          <w:ilvl w:val="0"/>
          <w:numId w:val="2"/>
        </w:numPr>
        <w:tabs>
          <w:tab w:val="left" w:pos="-1080"/>
        </w:tabs>
        <w:spacing w:before="0"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Résumé de la fiscalité</w:t>
      </w:r>
    </w:p>
    <w:p w:rsidR="004767BA" w:rsidRDefault="004767BA">
      <w:pPr>
        <w:rPr>
          <w:lang w:val="fr-BE"/>
        </w:rPr>
      </w:pPr>
    </w:p>
    <w:tbl>
      <w:tblPr>
        <w:tblStyle w:val="Grilledutableau"/>
        <w:tblW w:w="9396" w:type="dxa"/>
        <w:tblLook w:val="04A0" w:firstRow="1" w:lastRow="0" w:firstColumn="1" w:lastColumn="0" w:noHBand="0" w:noVBand="1"/>
      </w:tblPr>
      <w:tblGrid>
        <w:gridCol w:w="3227"/>
        <w:gridCol w:w="6169"/>
      </w:tblGrid>
      <w:tr w:rsidR="004767BA">
        <w:tc>
          <w:tcPr>
            <w:tcW w:w="3227" w:type="dxa"/>
            <w:shd w:val="clear" w:color="auto" w:fill="auto"/>
          </w:tcPr>
          <w:p w:rsidR="004767BA" w:rsidRDefault="00660C03">
            <w:pPr>
              <w:jc w:val="left"/>
              <w:rPr>
                <w:rFonts w:ascii="Arial" w:hAnsi="Arial" w:cs="Arial"/>
                <w:color w:val="141414"/>
                <w:sz w:val="22"/>
                <w:szCs w:val="22"/>
              </w:rPr>
            </w:pPr>
            <w:r>
              <w:rPr>
                <w:rFonts w:ascii="Arial" w:eastAsia="Droid Sans Fallback" w:hAnsi="Arial" w:cs="Arial"/>
                <w:color w:val="141414"/>
                <w:sz w:val="22"/>
                <w:szCs w:val="22"/>
                <w:lang w:bidi="hi-IN"/>
              </w:rPr>
              <w:t>Précompte mobilier :</w:t>
            </w:r>
          </w:p>
        </w:tc>
        <w:tc>
          <w:tcPr>
            <w:tcW w:w="6168" w:type="dxa"/>
            <w:shd w:val="clear" w:color="auto" w:fill="auto"/>
          </w:tcPr>
          <w:p w:rsidR="004767BA" w:rsidRDefault="00660C03">
            <w:pPr>
              <w:jc w:val="left"/>
              <w:rPr>
                <w:rFonts w:ascii="Arial" w:hAnsi="Arial" w:cs="Arial"/>
                <w:color w:val="141414"/>
                <w:sz w:val="22"/>
                <w:szCs w:val="22"/>
              </w:rPr>
            </w:pPr>
            <w:r>
              <w:rPr>
                <w:rFonts w:ascii="Arial" w:eastAsia="Droid Sans Fallback" w:hAnsi="Arial" w:cs="Arial"/>
                <w:color w:val="141414"/>
                <w:sz w:val="22"/>
                <w:shd w:val="clear" w:color="auto" w:fill="D9D9D9"/>
                <w:lang w:bidi="hi-IN"/>
              </w:rPr>
              <w:t>30 %</w:t>
            </w:r>
            <w:r>
              <w:rPr>
                <w:rStyle w:val="Ancredenotedebasdepage"/>
                <w:rFonts w:ascii="Arial" w:eastAsia="Droid Sans Fallback" w:hAnsi="Arial" w:cs="Arial"/>
                <w:color w:val="141414"/>
                <w:sz w:val="22"/>
                <w:shd w:val="clear" w:color="auto" w:fill="D9D9D9"/>
                <w:lang w:bidi="hi-IN"/>
              </w:rPr>
              <w:footnoteReference w:id="2"/>
            </w:r>
            <w:r>
              <w:rPr>
                <w:rFonts w:ascii="Arial" w:eastAsia="Droid Sans Fallback" w:hAnsi="Arial" w:cs="Arial"/>
                <w:color w:val="141414"/>
                <w:sz w:val="22"/>
                <w:lang w:bidi="hi-IN"/>
              </w:rPr>
              <w:t xml:space="preserve"> sur les revenus de ce produit d'investissement</w:t>
            </w:r>
          </w:p>
        </w:tc>
      </w:tr>
      <w:tr w:rsidR="004767BA">
        <w:tc>
          <w:tcPr>
            <w:tcW w:w="3227" w:type="dxa"/>
            <w:shd w:val="clear" w:color="auto" w:fill="auto"/>
          </w:tcPr>
          <w:p w:rsidR="004767BA" w:rsidRDefault="00660C03">
            <w:pPr>
              <w:jc w:val="left"/>
              <w:rPr>
                <w:rFonts w:ascii="Arial" w:hAnsi="Arial" w:cs="Arial"/>
                <w:color w:val="141414"/>
                <w:sz w:val="22"/>
                <w:szCs w:val="22"/>
              </w:rPr>
            </w:pPr>
            <w:r>
              <w:rPr>
                <w:rFonts w:ascii="Arial" w:eastAsia="Droid Sans Fallback" w:hAnsi="Arial" w:cs="Arial"/>
                <w:color w:val="141414"/>
                <w:sz w:val="22"/>
                <w:szCs w:val="22"/>
                <w:lang w:bidi="hi-IN"/>
              </w:rPr>
              <w:t>Autres :</w:t>
            </w:r>
          </w:p>
        </w:tc>
        <w:tc>
          <w:tcPr>
            <w:tcW w:w="6168" w:type="dxa"/>
            <w:shd w:val="clear" w:color="auto" w:fill="auto"/>
          </w:tcPr>
          <w:p w:rsidR="004767BA" w:rsidRDefault="00660C03">
            <w:pPr>
              <w:jc w:val="left"/>
              <w:rPr>
                <w:rFonts w:ascii="Arial" w:eastAsia="Droid Sans Fallback" w:hAnsi="Arial" w:cs="Arial"/>
                <w:sz w:val="22"/>
              </w:rPr>
            </w:pPr>
            <w:r>
              <w:rPr>
                <w:rFonts w:ascii="Arial" w:eastAsia="Droid Sans Fallback" w:hAnsi="Arial" w:cs="Arial"/>
                <w:sz w:val="22"/>
                <w:highlight w:val="lightGray"/>
                <w:lang w:bidi="hi-IN"/>
              </w:rPr>
              <w:t>…</w:t>
            </w:r>
          </w:p>
        </w:tc>
      </w:tr>
    </w:tbl>
    <w:p w:rsidR="004767BA" w:rsidRDefault="004767BA">
      <w:pPr>
        <w:jc w:val="left"/>
        <w:rPr>
          <w:rFonts w:ascii="Arial" w:hAnsi="Arial" w:cs="Arial"/>
          <w:sz w:val="22"/>
          <w:szCs w:val="22"/>
        </w:rPr>
      </w:pPr>
    </w:p>
    <w:p w:rsidR="004767BA" w:rsidRDefault="00660C03">
      <w:pPr>
        <w:pStyle w:val="Titre1"/>
        <w:keepLines w:val="0"/>
        <w:numPr>
          <w:ilvl w:val="0"/>
          <w:numId w:val="2"/>
        </w:numPr>
        <w:tabs>
          <w:tab w:val="left" w:pos="-1080"/>
        </w:tabs>
        <w:spacing w:before="0" w:after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Informations pratiques</w:t>
      </w:r>
    </w:p>
    <w:p w:rsidR="004767BA" w:rsidRDefault="004767BA">
      <w:pPr>
        <w:rPr>
          <w:lang w:val="fr-BE"/>
        </w:rPr>
      </w:pPr>
    </w:p>
    <w:p w:rsidR="004767BA" w:rsidRDefault="00660C03">
      <w:pPr>
        <w:pStyle w:val="Paragraphedeliste"/>
        <w:ind w:left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cas de plainte, vous pouvez vous adresser à </w:t>
      </w:r>
      <w:r>
        <w:rPr>
          <w:rFonts w:ascii="Arial" w:hAnsi="Arial" w:cs="Arial"/>
          <w:color w:val="000000"/>
          <w:sz w:val="22"/>
          <w:szCs w:val="22"/>
          <w:shd w:val="clear" w:color="auto" w:fill="D9D9D9"/>
        </w:rPr>
        <w:t>coordonnées du contact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767BA" w:rsidRDefault="00660C03">
      <w:pPr>
        <w:pStyle w:val="Paragraphedeliste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 vous n'obtenez pas satisfaction, contactez le service médiation des consommateurs, </w:t>
      </w:r>
      <w:proofErr w:type="spellStart"/>
      <w:r>
        <w:rPr>
          <w:rFonts w:ascii="Arial" w:hAnsi="Arial" w:cs="Arial"/>
          <w:sz w:val="22"/>
          <w:szCs w:val="22"/>
        </w:rPr>
        <w:t>North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Gate</w:t>
      </w:r>
      <w:proofErr w:type="spellEnd"/>
      <w:r>
        <w:rPr>
          <w:rFonts w:ascii="Arial" w:hAnsi="Arial" w:cs="Arial"/>
          <w:sz w:val="22"/>
          <w:szCs w:val="22"/>
        </w:rPr>
        <w:t xml:space="preserve"> II, Boulevard du Roi Albert II 8 Bte 1 à 1000 Bruxelles (Tel : 02 702 52 20, E-mail : c</w:t>
      </w:r>
      <w:r>
        <w:rPr>
          <w:rFonts w:ascii="Arial" w:hAnsi="Arial" w:cs="Arial"/>
          <w:sz w:val="22"/>
          <w:szCs w:val="22"/>
        </w:rPr>
        <w:t>ontact@mediationconsommateur.be</w:t>
      </w:r>
      <w:r>
        <w:rPr>
          <w:rFonts w:ascii="Arial" w:hAnsi="Arial" w:cs="Arial"/>
          <w:sz w:val="22"/>
          <w:szCs w:val="22"/>
          <w:lang w:val="fr-BE"/>
        </w:rPr>
        <w:t>).</w:t>
      </w:r>
    </w:p>
    <w:p w:rsidR="004767BA" w:rsidRDefault="004767BA">
      <w:pPr>
        <w:pStyle w:val="Paragraphedeliste"/>
        <w:ind w:left="0"/>
        <w:contextualSpacing/>
        <w:jc w:val="left"/>
        <w:rPr>
          <w:rFonts w:ascii="Arial" w:hAnsi="Arial" w:cs="Arial"/>
          <w:color w:val="000000"/>
          <w:sz w:val="22"/>
          <w:szCs w:val="22"/>
        </w:rPr>
      </w:pPr>
    </w:p>
    <w:p w:rsidR="004767BA" w:rsidRDefault="00660C03">
      <w:pPr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Cette fiche d'information est établie à la date du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xx/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lightGray"/>
        </w:rPr>
        <w:t>yy</w:t>
      </w:r>
      <w:proofErr w:type="spellEnd"/>
      <w:r>
        <w:rPr>
          <w:rFonts w:ascii="Arial" w:hAnsi="Arial" w:cs="Arial"/>
          <w:color w:val="000000"/>
          <w:sz w:val="22"/>
          <w:szCs w:val="22"/>
          <w:highlight w:val="lightGray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lightGray"/>
        </w:rPr>
        <w:t>dddd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</w:t>
      </w:r>
    </w:p>
    <w:p w:rsidR="004767BA" w:rsidRDefault="00660C03">
      <w:pPr>
        <w:jc w:val="left"/>
      </w:pPr>
      <w:proofErr w:type="gramStart"/>
      <w:r>
        <w:rPr>
          <w:rFonts w:ascii="Arial" w:hAnsi="Arial" w:cs="Arial"/>
          <w:color w:val="000000"/>
          <w:sz w:val="22"/>
          <w:szCs w:val="22"/>
          <w:highlight w:val="lightGray"/>
          <w:shd w:val="clear" w:color="auto" w:fill="FFFFFF"/>
        </w:rPr>
        <w:t>nom</w:t>
      </w:r>
      <w:proofErr w:type="gramEnd"/>
      <w:r>
        <w:rPr>
          <w:rFonts w:ascii="Arial" w:hAnsi="Arial" w:cs="Arial"/>
          <w:color w:val="000000"/>
          <w:sz w:val="22"/>
          <w:szCs w:val="22"/>
          <w:highlight w:val="lightGray"/>
          <w:shd w:val="clear" w:color="auto" w:fill="FFFFFF"/>
        </w:rPr>
        <w:t xml:space="preserve"> de l’émetteur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 </w:t>
      </w: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  <w:highlight w:val="lightGray"/>
          <w:shd w:val="clear" w:color="auto" w:fill="FFFFFF"/>
        </w:rPr>
        <w:t>statut juridique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highlight w:val="lightGray"/>
          <w:shd w:val="clear" w:color="auto" w:fill="FFFFFF"/>
        </w:rPr>
        <w:t>adresse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, RPM </w:t>
      </w:r>
      <w:r>
        <w:rPr>
          <w:rFonts w:ascii="Arial" w:hAnsi="Arial" w:cs="Arial"/>
          <w:color w:val="000000"/>
          <w:sz w:val="22"/>
          <w:szCs w:val="22"/>
          <w:highlight w:val="lightGray"/>
          <w:shd w:val="clear" w:color="auto" w:fill="FFFFFF"/>
        </w:rPr>
        <w:t xml:space="preserve">               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 – TVA BE</w:t>
      </w:r>
      <w:r>
        <w:rPr>
          <w:rFonts w:ascii="Arial" w:hAnsi="Arial" w:cs="Arial"/>
          <w:color w:val="000000"/>
          <w:sz w:val="22"/>
          <w:szCs w:val="22"/>
          <w:highlight w:val="lightGray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, tél. 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4767BA">
      <w:footerReference w:type="default" r:id="rId8"/>
      <w:pgSz w:w="12240" w:h="15840"/>
      <w:pgMar w:top="1417" w:right="1417" w:bottom="1417" w:left="1417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0C03">
      <w:r>
        <w:separator/>
      </w:r>
    </w:p>
  </w:endnote>
  <w:endnote w:type="continuationSeparator" w:id="0">
    <w:p w:rsidR="00000000" w:rsidRDefault="0066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A" w:rsidRDefault="00660C03">
    <w:pPr>
      <w:pStyle w:val="Pieddepage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/3</w:t>
    </w:r>
    <w:r>
      <w:rPr>
        <w:rFonts w:ascii="Arial" w:hAnsi="Arial" w:cs="Arial"/>
        <w:bCs/>
        <w:sz w:val="18"/>
        <w:szCs w:val="18"/>
      </w:rPr>
      <w:t xml:space="preserve"> – fiche d’informations obligation</w:t>
    </w:r>
  </w:p>
  <w:p w:rsidR="004767BA" w:rsidRDefault="004767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BA" w:rsidRDefault="00660C03">
      <w:r>
        <w:separator/>
      </w:r>
    </w:p>
  </w:footnote>
  <w:footnote w:type="continuationSeparator" w:id="0">
    <w:p w:rsidR="004767BA" w:rsidRDefault="00660C03">
      <w:r>
        <w:continuationSeparator/>
      </w:r>
    </w:p>
  </w:footnote>
  <w:footnote w:id="1">
    <w:p w:rsidR="004767BA" w:rsidRDefault="00660C03">
      <w:pPr>
        <w:pStyle w:val="Notedebasdepage"/>
      </w:pPr>
      <w:r>
        <w:rPr>
          <w:rStyle w:val="Caractresdenotedebasdepage"/>
        </w:rPr>
        <w:footnoteRef/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/>
          <w:sz w:val="17"/>
          <w:szCs w:val="17"/>
        </w:rPr>
        <w:t xml:space="preserve">our les ASBL, la législation en vigueur ne fixe pas de montant maximum. Pour les sociétés, le plafond est de 500.000 €. </w:t>
      </w:r>
    </w:p>
  </w:footnote>
  <w:footnote w:id="2">
    <w:p w:rsidR="004767BA" w:rsidRDefault="00660C03">
      <w:pPr>
        <w:pStyle w:val="Notedebasdepage"/>
        <w:jc w:val="left"/>
      </w:pPr>
      <w:r>
        <w:rPr>
          <w:rStyle w:val="Caractresdenotedebasdepage"/>
        </w:rPr>
        <w:footnoteRef/>
      </w:r>
      <w:r>
        <w:rPr>
          <w:rStyle w:val="Caractresdenotedebasdepage"/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t>Vérif</w:t>
      </w:r>
      <w:r>
        <w:rPr>
          <w:rFonts w:ascii="Arial" w:hAnsi="Arial" w:cs="Arial"/>
          <w:sz w:val="18"/>
          <w:szCs w:val="18"/>
          <w:lang w:val="fr-BE"/>
        </w:rPr>
        <w:t xml:space="preserve">ier si ce taux est toujours d’actualité : </w:t>
      </w:r>
      <w:hyperlink r:id="rId1">
        <w:r>
          <w:rPr>
            <w:rStyle w:val="LienInternet"/>
            <w:rFonts w:ascii="Arial" w:hAnsi="Arial" w:cs="Arial"/>
            <w:sz w:val="18"/>
            <w:szCs w:val="18"/>
          </w:rPr>
          <w:t>http://finances.belgium.be/fr/entreprises/impot_des_societes/Precomptes/precompte_mobilier/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E2F"/>
    <w:multiLevelType w:val="multilevel"/>
    <w:tmpl w:val="0E481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E211054"/>
    <w:multiLevelType w:val="multilevel"/>
    <w:tmpl w:val="22022D88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BA"/>
    <w:rsid w:val="004767BA"/>
    <w:rsid w:val="006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5ADB"/>
  <w15:docId w15:val="{83A2796E-4004-4527-B568-1C85AE78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00"/>
    <w:pPr>
      <w:widowControl w:val="0"/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rsid w:val="00C42E00"/>
    <w:pPr>
      <w:keepNext/>
      <w:keepLines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color w:val="365F91"/>
      <w:sz w:val="32"/>
      <w:szCs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64164"/>
  </w:style>
  <w:style w:type="character" w:customStyle="1" w:styleId="Titre1Car">
    <w:name w:val="Titre 1 Car"/>
    <w:basedOn w:val="Policepardfaut"/>
    <w:link w:val="Titre1"/>
    <w:qFormat/>
    <w:rsid w:val="00C42E00"/>
    <w:rPr>
      <w:rFonts w:ascii="Arial" w:eastAsia="Arial" w:hAnsi="Arial" w:cs="Arial"/>
      <w:b/>
      <w:bCs/>
      <w:color w:val="365F91"/>
      <w:kern w:val="2"/>
      <w:sz w:val="32"/>
      <w:szCs w:val="32"/>
      <w:lang w:eastAsia="zh-CN"/>
    </w:rPr>
  </w:style>
  <w:style w:type="character" w:customStyle="1" w:styleId="LienInternet">
    <w:name w:val="Lien Internet"/>
    <w:rsid w:val="00C42E00"/>
    <w:rPr>
      <w:color w:val="000080"/>
      <w:u w:val="single"/>
    </w:rPr>
  </w:style>
  <w:style w:type="character" w:customStyle="1" w:styleId="Ancredenotedebasdepage">
    <w:name w:val="Ancre de note de bas de page"/>
    <w:rsid w:val="00C42E00"/>
    <w:rPr>
      <w:vertAlign w:val="superscript"/>
    </w:rPr>
  </w:style>
  <w:style w:type="character" w:customStyle="1" w:styleId="FootnoteCharacters">
    <w:name w:val="Footnote Characters"/>
    <w:qFormat/>
    <w:rsid w:val="00C42E00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qFormat/>
    <w:rsid w:val="00C42E00"/>
    <w:rPr>
      <w:rFonts w:ascii="Times New Roman" w:eastAsia="Times New Roman" w:hAnsi="Times New Roman" w:cs="Times New Roman"/>
      <w:kern w:val="2"/>
      <w:lang w:val="fr-FR" w:eastAsia="zh-CN"/>
    </w:rPr>
  </w:style>
  <w:style w:type="character" w:customStyle="1" w:styleId="PieddepageCar">
    <w:name w:val="Pied de page Car"/>
    <w:basedOn w:val="Policepardfaut"/>
    <w:uiPriority w:val="99"/>
    <w:semiHidden/>
    <w:qFormat/>
    <w:rsid w:val="00C42E00"/>
    <w:rPr>
      <w:rFonts w:ascii="Times New Roman" w:eastAsia="Times New Roman" w:hAnsi="Times New Roman" w:cs="Times New Roman"/>
      <w:kern w:val="2"/>
      <w:sz w:val="24"/>
      <w:szCs w:val="24"/>
      <w:lang w:val="fr-FR"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42E00"/>
    <w:rPr>
      <w:rFonts w:ascii="Times New Roman" w:eastAsia="Times New Roman" w:hAnsi="Times New Roman" w:cs="Times New Roman"/>
      <w:kern w:val="2"/>
      <w:sz w:val="24"/>
      <w:szCs w:val="24"/>
      <w:lang w:val="fr-FR" w:eastAsia="zh-CN"/>
    </w:rPr>
  </w:style>
  <w:style w:type="character" w:customStyle="1" w:styleId="PieddepageCar1">
    <w:name w:val="Pied de page Car1"/>
    <w:link w:val="Pieddepage"/>
    <w:uiPriority w:val="99"/>
    <w:qFormat/>
    <w:rsid w:val="00C42E00"/>
    <w:rPr>
      <w:rFonts w:ascii="Times New Roman" w:eastAsia="Times New Roman" w:hAnsi="Times New Roman" w:cs="Times New Roman"/>
      <w:kern w:val="2"/>
      <w:sz w:val="24"/>
      <w:szCs w:val="24"/>
      <w:lang w:val="fr-FR" w:eastAsia="zh-CN"/>
    </w:rPr>
  </w:style>
  <w:style w:type="character" w:customStyle="1" w:styleId="En-tteCar">
    <w:name w:val="En-tête Car"/>
    <w:basedOn w:val="Policepardfaut"/>
    <w:uiPriority w:val="99"/>
    <w:qFormat/>
    <w:rsid w:val="00C42E00"/>
    <w:rPr>
      <w:rFonts w:ascii="Times New Roman" w:eastAsia="Times New Roman" w:hAnsi="Times New Roman" w:cs="Times New Roman"/>
      <w:kern w:val="2"/>
      <w:sz w:val="24"/>
      <w:szCs w:val="24"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F7AFF"/>
    <w:rPr>
      <w:rFonts w:ascii="Segoe UI" w:eastAsia="Times New Roman" w:hAnsi="Segoe UI" w:cs="Segoe UI"/>
      <w:kern w:val="2"/>
      <w:sz w:val="18"/>
      <w:szCs w:val="18"/>
      <w:lang w:val="fr-FR"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Wingdings"/>
      <w:sz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Times New Roman" w:eastAsia="Times New Roman" w:hAnsi="Times New Roman" w:cs="Times New Roman"/>
      <w:kern w:val="2"/>
      <w:szCs w:val="20"/>
      <w:lang w:val="fr-FR" w:eastAsia="zh-CN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rsid w:val="00C42E00"/>
    <w:pPr>
      <w:spacing w:line="288" w:lineRule="auto"/>
    </w:pPr>
    <w:rPr>
      <w:sz w:val="22"/>
      <w:szCs w:val="22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ieddepage">
    <w:name w:val="footer"/>
    <w:basedOn w:val="Normal"/>
    <w:link w:val="PieddepageCar1"/>
    <w:uiPriority w:val="99"/>
    <w:rsid w:val="00C42E00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rsid w:val="00C42E00"/>
    <w:pPr>
      <w:suppressLineNumbers/>
    </w:pPr>
  </w:style>
  <w:style w:type="paragraph" w:styleId="Notedebasdepage">
    <w:name w:val="footnote text"/>
    <w:basedOn w:val="Normal"/>
    <w:link w:val="NotedebasdepageCar"/>
    <w:rsid w:val="00C42E00"/>
  </w:style>
  <w:style w:type="paragraph" w:styleId="Paragraphedeliste">
    <w:name w:val="List Paragraph"/>
    <w:basedOn w:val="Normal"/>
    <w:qFormat/>
    <w:rsid w:val="00C42E00"/>
    <w:pPr>
      <w:ind w:left="708"/>
    </w:pPr>
  </w:style>
  <w:style w:type="paragraph" w:styleId="En-tte">
    <w:name w:val="header"/>
    <w:basedOn w:val="Normal"/>
    <w:uiPriority w:val="99"/>
    <w:unhideWhenUsed/>
    <w:rsid w:val="00C42E00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qFormat/>
    <w:rsid w:val="003F7AFF"/>
    <w:pPr>
      <w:jc w:val="center"/>
    </w:pPr>
    <w:rPr>
      <w:b/>
      <w:bCs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F7AFF"/>
    <w:rPr>
      <w:rFonts w:ascii="Segoe UI" w:hAnsi="Segoe UI" w:cs="Segoe UI"/>
      <w:sz w:val="18"/>
      <w:szCs w:val="18"/>
    </w:rPr>
  </w:style>
  <w:style w:type="paragraph" w:customStyle="1" w:styleId="Listenabsatz1">
    <w:name w:val="Listenabsatz1"/>
    <w:basedOn w:val="Normal"/>
    <w:qFormat/>
    <w:rsid w:val="003F7AFF"/>
    <w:pPr>
      <w:ind w:left="708"/>
    </w:pPr>
    <w:rPr>
      <w:kern w:val="0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table" w:styleId="Grilledutableau">
    <w:name w:val="Table Grid"/>
    <w:basedOn w:val="TableauNormal"/>
    <w:uiPriority w:val="39"/>
    <w:rsid w:val="00AA446B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nances.belgium.be/fr/entreprises/impot_des_societes/Precomptes/precompte_mobili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AE9E-84FE-402E-B2B1-42A421D6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900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Cayrol</dc:creator>
  <dc:description/>
  <cp:lastModifiedBy>Annika Cayrol</cp:lastModifiedBy>
  <cp:revision>23</cp:revision>
  <cp:lastPrinted>2018-11-05T15:49:00Z</cp:lastPrinted>
  <dcterms:created xsi:type="dcterms:W3CDTF">2018-11-05T12:27:00Z</dcterms:created>
  <dcterms:modified xsi:type="dcterms:W3CDTF">2018-11-27T11:32:00Z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