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BD" w:rsidRDefault="00261BD5">
      <w:pPr>
        <w:jc w:val="left"/>
        <w:rPr>
          <w:rFonts w:ascii="Arial" w:hAnsi="Arial" w:cs="Arial"/>
          <w:sz w:val="22"/>
          <w:szCs w:val="22"/>
        </w:rPr>
      </w:pPr>
      <w:r>
        <w:rPr>
          <w:rFonts w:ascii="Arial" w:hAnsi="Arial" w:cs="Arial"/>
          <w:color w:val="000000"/>
          <w:sz w:val="22"/>
          <w:szCs w:val="22"/>
          <w:shd w:val="clear" w:color="auto" w:fill="D9D9D9"/>
        </w:rPr>
        <w:t>Logo de l’émetteur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C86BBD" w:rsidRDefault="00C86BBD">
      <w:pPr>
        <w:jc w:val="left"/>
        <w:rPr>
          <w:rFonts w:ascii="Arial" w:hAnsi="Arial" w:cs="Arial"/>
          <w:sz w:val="22"/>
          <w:szCs w:val="22"/>
        </w:rPr>
      </w:pPr>
    </w:p>
    <w:p w:rsidR="00C86BBD" w:rsidRDefault="00261BD5">
      <w:pPr>
        <w:jc w:val="center"/>
        <w:rPr>
          <w:rFonts w:ascii="Arial" w:hAnsi="Arial" w:cs="Arial"/>
          <w:color w:val="141414"/>
          <w:sz w:val="22"/>
          <w:szCs w:val="22"/>
          <w:highlight w:val="lightGray"/>
        </w:rPr>
      </w:pPr>
      <w:proofErr w:type="gramStart"/>
      <w:r>
        <w:rPr>
          <w:rFonts w:ascii="Arial" w:hAnsi="Arial" w:cs="Arial"/>
          <w:color w:val="141414"/>
          <w:sz w:val="22"/>
          <w:szCs w:val="22"/>
          <w:highlight w:val="lightGray"/>
        </w:rPr>
        <w:t>nom</w:t>
      </w:r>
      <w:proofErr w:type="gramEnd"/>
      <w:r>
        <w:rPr>
          <w:rFonts w:ascii="Arial" w:hAnsi="Arial" w:cs="Arial"/>
          <w:color w:val="141414"/>
          <w:sz w:val="22"/>
          <w:szCs w:val="22"/>
          <w:highlight w:val="lightGray"/>
        </w:rPr>
        <w:t xml:space="preserve"> du produit </w:t>
      </w:r>
    </w:p>
    <w:p w:rsidR="00C86BBD" w:rsidRDefault="00261BD5">
      <w:pPr>
        <w:jc w:val="center"/>
        <w:rPr>
          <w:rFonts w:ascii="Arial" w:hAnsi="Arial" w:cs="Arial"/>
          <w:sz w:val="22"/>
          <w:szCs w:val="22"/>
        </w:rPr>
      </w:pPr>
      <w:proofErr w:type="gramStart"/>
      <w:r>
        <w:rPr>
          <w:rFonts w:ascii="Arial" w:hAnsi="Arial" w:cs="Arial"/>
          <w:color w:val="141414"/>
          <w:sz w:val="22"/>
          <w:szCs w:val="22"/>
        </w:rPr>
        <w:t>émis</w:t>
      </w:r>
      <w:proofErr w:type="gramEnd"/>
      <w:r>
        <w:rPr>
          <w:rFonts w:ascii="Arial" w:hAnsi="Arial" w:cs="Arial"/>
          <w:color w:val="141414"/>
          <w:sz w:val="22"/>
          <w:szCs w:val="22"/>
        </w:rPr>
        <w:t xml:space="preserve"> par </w:t>
      </w:r>
      <w:r>
        <w:rPr>
          <w:rFonts w:ascii="Arial" w:hAnsi="Arial" w:cs="Arial"/>
          <w:color w:val="141414"/>
          <w:sz w:val="22"/>
          <w:szCs w:val="22"/>
          <w:highlight w:val="lightGray"/>
        </w:rPr>
        <w:t>« nom émetteur »</w:t>
      </w:r>
      <w:r>
        <w:rPr>
          <w:rFonts w:ascii="Arial" w:hAnsi="Arial" w:cs="Arial"/>
          <w:color w:val="141414"/>
          <w:sz w:val="22"/>
          <w:szCs w:val="22"/>
        </w:rPr>
        <w:t xml:space="preserve"> </w:t>
      </w:r>
      <w:r>
        <w:rPr>
          <w:rFonts w:ascii="Arial" w:hAnsi="Arial" w:cs="Arial"/>
          <w:color w:val="141414"/>
          <w:sz w:val="22"/>
          <w:szCs w:val="22"/>
          <w:highlight w:val="lightGray"/>
        </w:rPr>
        <w:t>(ex : part de coopérateur « B »)</w:t>
      </w:r>
    </w:p>
    <w:p w:rsidR="00C86BBD" w:rsidRDefault="00C86BBD">
      <w:pPr>
        <w:jc w:val="center"/>
        <w:rPr>
          <w:rFonts w:ascii="Arial" w:hAnsi="Arial" w:cs="Arial"/>
          <w:b/>
          <w:color w:val="365F91"/>
          <w:sz w:val="22"/>
          <w:szCs w:val="22"/>
        </w:rPr>
      </w:pPr>
    </w:p>
    <w:p w:rsidR="00C86BBD" w:rsidRDefault="00261BD5">
      <w:pPr>
        <w:jc w:val="center"/>
      </w:pPr>
      <w:r>
        <w:rPr>
          <w:rFonts w:ascii="Arial" w:hAnsi="Arial" w:cs="Arial"/>
          <w:i/>
          <w:iCs/>
          <w:color w:val="141414"/>
          <w:sz w:val="22"/>
          <w:szCs w:val="22"/>
        </w:rPr>
        <w:t>Fiche d’informations action</w:t>
      </w:r>
    </w:p>
    <w:p w:rsidR="00C86BBD" w:rsidRDefault="00C86BBD">
      <w:pPr>
        <w:jc w:val="left"/>
        <w:rPr>
          <w:rFonts w:ascii="Arial" w:hAnsi="Arial" w:cs="Arial"/>
          <w:color w:val="141414"/>
          <w:sz w:val="22"/>
          <w:szCs w:val="22"/>
        </w:rPr>
      </w:pPr>
    </w:p>
    <w:p w:rsidR="00C86BBD" w:rsidRDefault="00261BD5">
      <w:pPr>
        <w:pStyle w:val="Titre1"/>
        <w:keepLines w:val="0"/>
        <w:numPr>
          <w:ilvl w:val="1"/>
          <w:numId w:val="2"/>
        </w:numPr>
        <w:tabs>
          <w:tab w:val="left" w:pos="-1080"/>
        </w:tabs>
        <w:spacing w:before="0" w:after="0"/>
        <w:ind w:left="0"/>
        <w:jc w:val="left"/>
        <w:rPr>
          <w:sz w:val="22"/>
          <w:szCs w:val="22"/>
        </w:rPr>
      </w:pPr>
      <w:r>
        <w:rPr>
          <w:sz w:val="22"/>
          <w:szCs w:val="22"/>
        </w:rPr>
        <w:t>Nature du produit</w:t>
      </w:r>
    </w:p>
    <w:p w:rsidR="00C86BBD" w:rsidRDefault="00C86BBD">
      <w:pPr>
        <w:jc w:val="left"/>
        <w:rPr>
          <w:rFonts w:ascii="Arial" w:hAnsi="Arial" w:cs="Arial"/>
          <w:sz w:val="22"/>
          <w:szCs w:val="22"/>
          <w:lang w:val="fr-BE"/>
        </w:rPr>
      </w:pPr>
    </w:p>
    <w:p w:rsidR="00C86BBD" w:rsidRDefault="00261BD5">
      <w:pPr>
        <w:rPr>
          <w:rFonts w:ascii="Arial" w:hAnsi="Arial" w:cs="Arial"/>
          <w:color w:val="141414"/>
          <w:sz w:val="22"/>
          <w:szCs w:val="22"/>
        </w:rPr>
      </w:pPr>
      <w:r>
        <w:rPr>
          <w:rFonts w:ascii="Arial" w:hAnsi="Arial" w:cs="Arial"/>
          <w:color w:val="141414"/>
          <w:sz w:val="22"/>
          <w:szCs w:val="22"/>
        </w:rPr>
        <w:t xml:space="preserve">L'instrument offert est une action. En y souscrivant, l'investisseur devient propriétaire d'une partie </w:t>
      </w:r>
      <w:r>
        <w:rPr>
          <w:rFonts w:ascii="Arial" w:hAnsi="Arial" w:cs="Arial"/>
          <w:color w:val="141414"/>
          <w:sz w:val="22"/>
          <w:szCs w:val="22"/>
        </w:rPr>
        <w:t>du capital de l'émetteur. L'actionnaire est soumis au risque de l'entreprise et risque donc de perdre le capital investi. En cas de liquidation l'actionnaire passe après le créancier dans la répartition du produit de la vente des actifs, autrement dit la p</w:t>
      </w:r>
      <w:r>
        <w:rPr>
          <w:rFonts w:ascii="Arial" w:hAnsi="Arial" w:cs="Arial"/>
          <w:color w:val="141414"/>
          <w:sz w:val="22"/>
          <w:szCs w:val="22"/>
        </w:rPr>
        <w:t>lupart du temps, il ne peut rien récupérer.</w:t>
      </w:r>
    </w:p>
    <w:p w:rsidR="00C86BBD" w:rsidRDefault="00261BD5">
      <w:pPr>
        <w:rPr>
          <w:rFonts w:ascii="Arial" w:hAnsi="Arial" w:cs="Arial"/>
          <w:sz w:val="22"/>
          <w:szCs w:val="22"/>
        </w:rPr>
      </w:pPr>
      <w:r>
        <w:rPr>
          <w:rFonts w:ascii="Arial" w:hAnsi="Arial" w:cs="Arial"/>
          <w:color w:val="141414"/>
          <w:sz w:val="22"/>
          <w:szCs w:val="22"/>
        </w:rPr>
        <w:t xml:space="preserve">L'action a une durée de vie illimitée. Voir les risques pour les possibilités de remboursement. </w:t>
      </w:r>
    </w:p>
    <w:p w:rsidR="00C86BBD" w:rsidRDefault="00261BD5">
      <w:pPr>
        <w:rPr>
          <w:rFonts w:ascii="Arial" w:hAnsi="Arial" w:cs="Arial"/>
          <w:sz w:val="22"/>
          <w:szCs w:val="22"/>
        </w:rPr>
      </w:pPr>
      <w:r>
        <w:rPr>
          <w:rFonts w:ascii="Arial" w:hAnsi="Arial" w:cs="Arial"/>
          <w:color w:val="141414"/>
          <w:sz w:val="22"/>
          <w:szCs w:val="22"/>
        </w:rPr>
        <w:t>En contrepartie, l'action donne droit à une quote-part du bénéfice éventuel de l'émetteur et l'actionnaire reçoit l</w:t>
      </w:r>
      <w:r>
        <w:rPr>
          <w:rFonts w:ascii="Arial" w:hAnsi="Arial" w:cs="Arial"/>
          <w:color w:val="141414"/>
          <w:sz w:val="22"/>
          <w:szCs w:val="22"/>
        </w:rPr>
        <w:t>e cas échéant un revenu appelé dividende. Le montant du dividende dépend du profit réalisé par l'émetteur et de la façon dont il décide de le répartir entre mise en réserve et rémunération des actionnaires. L'action donne également un droit de vote à l’ass</w:t>
      </w:r>
      <w:r>
        <w:rPr>
          <w:rFonts w:ascii="Arial" w:hAnsi="Arial" w:cs="Arial"/>
          <w:color w:val="141414"/>
          <w:sz w:val="22"/>
          <w:szCs w:val="22"/>
        </w:rPr>
        <w:t xml:space="preserve">emblée générale. </w:t>
      </w:r>
    </w:p>
    <w:p w:rsidR="00C86BBD" w:rsidRDefault="00C86BBD">
      <w:pPr>
        <w:jc w:val="left"/>
        <w:rPr>
          <w:rFonts w:ascii="Arial" w:hAnsi="Arial" w:cs="Arial"/>
          <w:color w:val="141414"/>
          <w:sz w:val="22"/>
          <w:szCs w:val="22"/>
        </w:rPr>
      </w:pPr>
    </w:p>
    <w:p w:rsidR="00C86BBD" w:rsidRDefault="00261BD5">
      <w:pPr>
        <w:pStyle w:val="Titre1"/>
        <w:keepLines w:val="0"/>
        <w:numPr>
          <w:ilvl w:val="1"/>
          <w:numId w:val="2"/>
        </w:numPr>
        <w:tabs>
          <w:tab w:val="left" w:pos="-720"/>
        </w:tabs>
        <w:spacing w:before="0" w:after="0"/>
        <w:ind w:left="0"/>
        <w:jc w:val="left"/>
        <w:rPr>
          <w:sz w:val="22"/>
          <w:szCs w:val="22"/>
        </w:rPr>
      </w:pPr>
      <w:r>
        <w:rPr>
          <w:sz w:val="22"/>
          <w:szCs w:val="22"/>
        </w:rPr>
        <w:t>Principales caractéristiques du produit</w:t>
      </w:r>
    </w:p>
    <w:p w:rsidR="00C86BBD" w:rsidRDefault="00C86BBD">
      <w:pPr>
        <w:rPr>
          <w:lang w:val="fr-BE"/>
        </w:rPr>
      </w:pPr>
    </w:p>
    <w:tbl>
      <w:tblPr>
        <w:tblW w:w="9412" w:type="dxa"/>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4A0" w:firstRow="1" w:lastRow="0" w:firstColumn="1" w:lastColumn="0" w:noHBand="0" w:noVBand="1"/>
      </w:tblPr>
      <w:tblGrid>
        <w:gridCol w:w="2689"/>
        <w:gridCol w:w="6723"/>
      </w:tblGrid>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Emetteur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Nom de l’émetteur</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Prix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…[de l’action]</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Types d’actions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color w:val="141414"/>
                <w:sz w:val="22"/>
                <w:szCs w:val="22"/>
                <w:highlight w:val="lightGray"/>
                <w:shd w:val="clear" w:color="auto" w:fill="FFFFFF"/>
              </w:rPr>
              <w:t>actions nouvelles ou existantes et catégorie, le cas échéant</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Politique de dividende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contextualSpacing/>
              <w:jc w:val="left"/>
              <w:rPr>
                <w:highlight w:val="lightGray"/>
              </w:rPr>
            </w:pPr>
            <w:r>
              <w:rPr>
                <w:rFonts w:ascii="Arial" w:hAnsi="Arial" w:cs="Arial"/>
                <w:sz w:val="22"/>
                <w:szCs w:val="22"/>
                <w:highlight w:val="lightGray"/>
              </w:rPr>
              <w:t>(Pas de dividende, inflation, autre ou</w:t>
            </w:r>
            <w:r>
              <w:rPr>
                <w:rFonts w:ascii="Arial" w:hAnsi="Arial" w:cs="Arial"/>
                <w:sz w:val="22"/>
                <w:szCs w:val="22"/>
                <w:highlight w:val="lightGray"/>
              </w:rPr>
              <w:t xml:space="preserve"> le dividende distribué aux associés est modéré suivant les règles CNC</w:t>
            </w:r>
            <w:r>
              <w:rPr>
                <w:rStyle w:val="Ancredenotedebasdepage"/>
                <w:rFonts w:ascii="Arial" w:hAnsi="Arial" w:cs="Arial"/>
                <w:sz w:val="22"/>
                <w:szCs w:val="22"/>
                <w:highlight w:val="lightGray"/>
              </w:rPr>
              <w:footnoteReference w:id="1"/>
            </w:r>
            <w:r>
              <w:rPr>
                <w:rStyle w:val="Ancredenotedebasdepage"/>
                <w:rFonts w:ascii="Arial" w:hAnsi="Arial" w:cs="Arial"/>
                <w:sz w:val="22"/>
                <w:szCs w:val="22"/>
                <w:highlight w:val="lightGray"/>
              </w:rPr>
              <w:t xml:space="preserve"> </w:t>
            </w:r>
            <w:r>
              <w:rPr>
                <w:rStyle w:val="Ancredenotedebasdepage"/>
                <w:rFonts w:ascii="Arial" w:hAnsi="Arial" w:cs="Arial"/>
                <w:sz w:val="22"/>
                <w:szCs w:val="22"/>
                <w:highlight w:val="lightGray"/>
                <w:vertAlign w:val="baseline"/>
              </w:rPr>
              <w:t>)</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Droits attachés aux parts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contextualSpacing/>
              <w:jc w:val="left"/>
              <w:rPr>
                <w:highlight w:val="lightGray"/>
              </w:rPr>
            </w:pPr>
            <w:r>
              <w:rPr>
                <w:highlight w:val="lightGray"/>
              </w:rPr>
              <w:t>…</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Modalités de composition du conseil d’administration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contextualSpacing/>
              <w:jc w:val="left"/>
              <w:rPr>
                <w:highlight w:val="lightGray"/>
              </w:rPr>
            </w:pPr>
            <w:r>
              <w:rPr>
                <w:highlight w:val="lightGray"/>
              </w:rPr>
              <w:t>…</w:t>
            </w:r>
          </w:p>
        </w:tc>
      </w:tr>
      <w:tr w:rsidR="00C86BBD">
        <w:tc>
          <w:tcPr>
            <w:tcW w:w="2689"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Autres caractéristiques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w:t>
            </w:r>
          </w:p>
        </w:tc>
      </w:tr>
      <w:tr w:rsidR="00C86BBD">
        <w:tc>
          <w:tcPr>
            <w:tcW w:w="2689"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rPr>
                <w:rFonts w:ascii="Arial" w:hAnsi="Arial" w:cs="Arial"/>
                <w:sz w:val="22"/>
                <w:szCs w:val="22"/>
                <w:highlight w:val="green"/>
              </w:rPr>
            </w:pPr>
            <w:r>
              <w:rPr>
                <w:rFonts w:ascii="Arial" w:hAnsi="Arial" w:cs="Arial"/>
                <w:sz w:val="22"/>
                <w:szCs w:val="22"/>
              </w:rPr>
              <w:t xml:space="preserve">Valeur de la part au XX : </w:t>
            </w:r>
          </w:p>
        </w:tc>
        <w:tc>
          <w:tcPr>
            <w:tcW w:w="672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pPr>
            <w:r>
              <w:rPr>
                <w:rFonts w:ascii="Arial" w:hAnsi="Arial" w:cs="Arial"/>
                <w:sz w:val="22"/>
                <w:szCs w:val="22"/>
                <w:highlight w:val="lightGray"/>
              </w:rPr>
              <w:t xml:space="preserve">(Méthode de calcul à utiliser: </w:t>
            </w:r>
            <w:r>
              <w:rPr>
                <w:rFonts w:ascii="Arial" w:hAnsi="Arial" w:cs="Arial"/>
                <w:sz w:val="22"/>
                <w:szCs w:val="22"/>
                <w:highlight w:val="lightGray"/>
              </w:rPr>
              <w:t>(Capitaux propres/Capital) X valeur nominale).</w:t>
            </w:r>
          </w:p>
        </w:tc>
      </w:tr>
    </w:tbl>
    <w:p w:rsidR="00C86BBD" w:rsidRDefault="00C86BBD">
      <w:pPr>
        <w:pStyle w:val="Titre1"/>
        <w:keepLines w:val="0"/>
        <w:numPr>
          <w:ilvl w:val="0"/>
          <w:numId w:val="0"/>
        </w:numPr>
        <w:tabs>
          <w:tab w:val="left" w:pos="-720"/>
        </w:tabs>
        <w:spacing w:before="0" w:after="0"/>
        <w:jc w:val="left"/>
        <w:rPr>
          <w:sz w:val="22"/>
          <w:szCs w:val="22"/>
        </w:rPr>
      </w:pPr>
    </w:p>
    <w:p w:rsidR="00C86BBD" w:rsidRDefault="00261BD5">
      <w:pPr>
        <w:pStyle w:val="Titre1"/>
        <w:keepLines w:val="0"/>
        <w:numPr>
          <w:ilvl w:val="1"/>
          <w:numId w:val="2"/>
        </w:numPr>
        <w:tabs>
          <w:tab w:val="left" w:pos="-720"/>
        </w:tabs>
        <w:spacing w:before="0" w:after="0"/>
        <w:ind w:left="0"/>
        <w:jc w:val="left"/>
        <w:rPr>
          <w:sz w:val="22"/>
          <w:szCs w:val="22"/>
        </w:rPr>
      </w:pPr>
      <w:r>
        <w:rPr>
          <w:sz w:val="22"/>
          <w:szCs w:val="22"/>
        </w:rPr>
        <w:t>Description et but de l'offre</w:t>
      </w:r>
    </w:p>
    <w:p w:rsidR="00C86BBD" w:rsidRDefault="00C86BBD">
      <w:pPr>
        <w:rPr>
          <w:lang w:val="fr-BE"/>
        </w:rPr>
      </w:pPr>
    </w:p>
    <w:tbl>
      <w:tblPr>
        <w:tblW w:w="9408" w:type="dxa"/>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4A0" w:firstRow="1" w:lastRow="0" w:firstColumn="1" w:lastColumn="0" w:noHBand="0" w:noVBand="1"/>
      </w:tblPr>
      <w:tblGrid>
        <w:gridCol w:w="2691"/>
        <w:gridCol w:w="6717"/>
      </w:tblGrid>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Type d’offre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(vente en souscription ou autre)</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Montant de l’offre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Nombre d’actions offertes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highlight w:val="magenta"/>
              </w:rPr>
            </w:pPr>
            <w:r>
              <w:rPr>
                <w:rFonts w:ascii="Arial" w:hAnsi="Arial" w:cs="Arial"/>
                <w:sz w:val="22"/>
                <w:szCs w:val="22"/>
              </w:rPr>
              <w:t xml:space="preserve">Seuil maximum de parts </w:t>
            </w:r>
            <w:r>
              <w:rPr>
                <w:rFonts w:ascii="Arial" w:hAnsi="Arial" w:cs="Arial"/>
                <w:sz w:val="22"/>
                <w:szCs w:val="22"/>
              </w:rPr>
              <w:lastRenderedPageBreak/>
              <w:t>souscrites par investisseur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highlight w:val="lightGray"/>
              </w:rPr>
            </w:pPr>
            <w:r>
              <w:rPr>
                <w:rFonts w:ascii="Arial" w:hAnsi="Arial" w:cs="Arial"/>
                <w:sz w:val="22"/>
                <w:szCs w:val="22"/>
                <w:highlight w:val="lightGray"/>
              </w:rPr>
              <w:lastRenderedPageBreak/>
              <w:t xml:space="preserve">XX parts soit XX </w:t>
            </w:r>
            <w:r>
              <w:rPr>
                <w:rFonts w:ascii="Arial" w:hAnsi="Arial" w:cs="Arial"/>
                <w:sz w:val="22"/>
                <w:szCs w:val="22"/>
                <w:highlight w:val="lightGray"/>
              </w:rPr>
              <w:t>euros (ce seuil doit être limité à</w:t>
            </w:r>
            <w:r>
              <w:rPr>
                <w:rFonts w:ascii="Arial" w:hAnsi="Arial" w:cs="Arial"/>
                <w:color w:val="141414"/>
                <w:sz w:val="22"/>
                <w:szCs w:val="22"/>
                <w:highlight w:val="lightGray"/>
              </w:rPr>
              <w:t xml:space="preserve"> 5.000 euros)</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lastRenderedPageBreak/>
              <w:t>Destinataire de l’offre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 xml:space="preserve">(exemple : investisseur </w:t>
            </w:r>
            <w:proofErr w:type="spellStart"/>
            <w:r>
              <w:rPr>
                <w:rFonts w:ascii="Arial" w:hAnsi="Arial" w:cs="Arial"/>
                <w:sz w:val="22"/>
                <w:szCs w:val="22"/>
                <w:highlight w:val="lightGray"/>
              </w:rPr>
              <w:t>retail</w:t>
            </w:r>
            <w:proofErr w:type="spellEnd"/>
            <w:r>
              <w:rPr>
                <w:rFonts w:ascii="Arial" w:hAnsi="Arial" w:cs="Arial"/>
                <w:sz w:val="22"/>
                <w:szCs w:val="22"/>
                <w:highlight w:val="lightGray"/>
              </w:rPr>
              <w:t xml:space="preserve"> sur le territoire belge)</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Affectation du produit de l’offre par l’émetteur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 xml:space="preserve">Brève description de l’affectation principale </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Période de l’offre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(Indiquer la possibilité de clôture anticipée le cas échéant.)</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Allocation en cas de sursouscription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Brève description de la procédure d’allocation (</w:t>
            </w:r>
            <w:r>
              <w:rPr>
                <w:rFonts w:ascii="Arial" w:hAnsi="Arial" w:cs="Arial"/>
                <w:bCs/>
                <w:sz w:val="22"/>
                <w:szCs w:val="22"/>
                <w:highlight w:val="lightGray"/>
              </w:rPr>
              <w:t>exemples de procédure</w:t>
            </w:r>
            <w:r>
              <w:rPr>
                <w:rFonts w:ascii="Arial" w:hAnsi="Arial" w:cs="Arial"/>
                <w:sz w:val="22"/>
                <w:szCs w:val="22"/>
                <w:highlight w:val="lightGray"/>
              </w:rPr>
              <w:t> : remboursement des derniers arrivés</w:t>
            </w:r>
            <w:r>
              <w:rPr>
                <w:rFonts w:ascii="Arial" w:hAnsi="Arial" w:cs="Arial"/>
                <w:color w:val="141414"/>
                <w:sz w:val="22"/>
                <w:szCs w:val="22"/>
                <w:highlight w:val="lightGray"/>
              </w:rPr>
              <w:t>)</w:t>
            </w:r>
            <w:r>
              <w:rPr>
                <w:rFonts w:ascii="Arial" w:hAnsi="Arial" w:cs="Arial"/>
                <w:sz w:val="22"/>
                <w:szCs w:val="22"/>
                <w:highlight w:val="lightGray"/>
              </w:rPr>
              <w:t xml:space="preserve"> </w:t>
            </w:r>
          </w:p>
        </w:tc>
      </w:tr>
      <w:tr w:rsidR="00C86BBD">
        <w:tc>
          <w:tcPr>
            <w:tcW w:w="2691"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Autres caractéristiques de l’offre :</w:t>
            </w:r>
          </w:p>
        </w:tc>
        <w:tc>
          <w:tcPr>
            <w:tcW w:w="6716"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snapToGrid w:val="0"/>
              <w:rPr>
                <w:rFonts w:ascii="Arial" w:hAnsi="Arial" w:cs="Arial"/>
                <w:sz w:val="22"/>
                <w:szCs w:val="22"/>
                <w:highlight w:val="lightGray"/>
              </w:rPr>
            </w:pPr>
            <w:r>
              <w:rPr>
                <w:rFonts w:ascii="Arial" w:hAnsi="Arial" w:cs="Arial"/>
                <w:sz w:val="22"/>
                <w:szCs w:val="22"/>
                <w:highlight w:val="lightGray"/>
              </w:rPr>
              <w:t xml:space="preserve">…ex : </w:t>
            </w:r>
            <w:r>
              <w:rPr>
                <w:rFonts w:ascii="Arial" w:hAnsi="Arial" w:cs="Arial"/>
                <w:sz w:val="22"/>
                <w:szCs w:val="22"/>
                <w:highlight w:val="lightGray"/>
              </w:rPr>
              <w:t>montant maximal de l’offre ( moins de 100.000€/12 mois)</w:t>
            </w:r>
          </w:p>
        </w:tc>
      </w:tr>
    </w:tbl>
    <w:p w:rsidR="00C86BBD" w:rsidRDefault="00C86BBD">
      <w:pPr>
        <w:pStyle w:val="Paragraphedeliste"/>
        <w:ind w:left="0"/>
        <w:jc w:val="left"/>
        <w:rPr>
          <w:rFonts w:ascii="Arial" w:hAnsi="Arial" w:cs="Arial"/>
          <w:sz w:val="22"/>
          <w:szCs w:val="22"/>
        </w:rPr>
      </w:pPr>
    </w:p>
    <w:p w:rsidR="00C86BBD" w:rsidRDefault="00261BD5">
      <w:pPr>
        <w:pStyle w:val="Titre1"/>
        <w:keepLines w:val="0"/>
        <w:numPr>
          <w:ilvl w:val="1"/>
          <w:numId w:val="2"/>
        </w:numPr>
        <w:tabs>
          <w:tab w:val="left" w:pos="-720"/>
        </w:tabs>
        <w:spacing w:before="0" w:after="0"/>
        <w:ind w:left="0"/>
        <w:jc w:val="left"/>
        <w:rPr>
          <w:sz w:val="22"/>
          <w:szCs w:val="22"/>
        </w:rPr>
      </w:pPr>
      <w:r>
        <w:rPr>
          <w:sz w:val="22"/>
          <w:szCs w:val="22"/>
        </w:rPr>
        <w:t>Description de l'émetteur et chiffres-clés</w:t>
      </w:r>
    </w:p>
    <w:p w:rsidR="00C86BBD" w:rsidRDefault="00C86BBD">
      <w:pPr>
        <w:rPr>
          <w:lang w:val="fr-BE"/>
        </w:rPr>
      </w:pPr>
    </w:p>
    <w:tbl>
      <w:tblPr>
        <w:tblStyle w:val="Grilledutableau"/>
        <w:tblW w:w="9352" w:type="dxa"/>
        <w:tblInd w:w="48" w:type="dxa"/>
        <w:tblCellMar>
          <w:top w:w="55" w:type="dxa"/>
          <w:left w:w="76" w:type="dxa"/>
          <w:bottom w:w="55" w:type="dxa"/>
          <w:right w:w="55" w:type="dxa"/>
        </w:tblCellMar>
        <w:tblLook w:val="04A0" w:firstRow="1" w:lastRow="0" w:firstColumn="1" w:lastColumn="0" w:noHBand="0" w:noVBand="1"/>
      </w:tblPr>
      <w:tblGrid>
        <w:gridCol w:w="2076"/>
        <w:gridCol w:w="2123"/>
        <w:gridCol w:w="5153"/>
      </w:tblGrid>
      <w:tr w:rsidR="00C86BBD">
        <w:tc>
          <w:tcPr>
            <w:tcW w:w="9352" w:type="dxa"/>
            <w:gridSpan w:val="3"/>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rPr>
            </w:pPr>
            <w:r>
              <w:rPr>
                <w:rFonts w:ascii="Arial" w:eastAsia="Droid Sans Fallback" w:hAnsi="Arial" w:cs="Arial"/>
                <w:sz w:val="22"/>
                <w:szCs w:val="22"/>
                <w:lang w:bidi="hi-IN"/>
              </w:rPr>
              <w:t>Brève description de l’émetteur et de ses activités (objet social, historique, activités...)</w:t>
            </w:r>
          </w:p>
        </w:tc>
      </w:tr>
      <w:tr w:rsidR="00C86BBD">
        <w:tc>
          <w:tcPr>
            <w:tcW w:w="9352" w:type="dxa"/>
            <w:gridSpan w:val="3"/>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eastAsia="Droid Sans Fallback" w:hAnsi="Arial" w:cs="Arial"/>
                <w:sz w:val="22"/>
              </w:rPr>
            </w:pPr>
            <w:r>
              <w:rPr>
                <w:rFonts w:ascii="Arial" w:eastAsia="Droid Sans Fallback" w:hAnsi="Arial" w:cs="Arial"/>
                <w:sz w:val="22"/>
                <w:highlight w:val="lightGray"/>
                <w:lang w:bidi="hi-IN"/>
              </w:rPr>
              <w:t>…</w:t>
            </w:r>
          </w:p>
        </w:tc>
      </w:tr>
      <w:tr w:rsidR="00C86BBD">
        <w:tc>
          <w:tcPr>
            <w:tcW w:w="9352" w:type="dxa"/>
            <w:gridSpan w:val="3"/>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rPr>
            </w:pPr>
            <w:r>
              <w:rPr>
                <w:rFonts w:ascii="Arial" w:eastAsia="Droid Sans Fallback" w:hAnsi="Arial" w:cs="Arial"/>
                <w:sz w:val="22"/>
                <w:szCs w:val="22"/>
                <w:lang w:bidi="hi-IN"/>
              </w:rPr>
              <w:t>Chiffres-clés de l’émetteur : (N.A. si start-up)</w:t>
            </w:r>
          </w:p>
        </w:tc>
      </w:tr>
      <w:tr w:rsidR="00C86BBD">
        <w:trPr>
          <w:trHeight w:val="169"/>
        </w:trPr>
        <w:tc>
          <w:tcPr>
            <w:tcW w:w="2076"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C86BBD">
            <w:pPr>
              <w:pStyle w:val="Contenudetableau"/>
              <w:rPr>
                <w:rFonts w:ascii="Arial" w:eastAsia="Droid Sans Fallback" w:hAnsi="Arial" w:cs="Arial"/>
                <w:sz w:val="22"/>
                <w:lang w:bidi="hi-IN"/>
              </w:rPr>
            </w:pP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C86BBD">
            <w:pPr>
              <w:pStyle w:val="Contenudetableau"/>
              <w:rPr>
                <w:rFonts w:ascii="Arial" w:eastAsia="Droid Sans Fallback" w:hAnsi="Arial" w:cs="Arial"/>
                <w:sz w:val="22"/>
                <w:lang w:bidi="hi-IN"/>
              </w:rPr>
            </w:pP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rPr>
                <w:rFonts w:ascii="Arial" w:eastAsia="Droid Sans Fallback" w:hAnsi="Arial" w:cs="Arial"/>
                <w:sz w:val="22"/>
                <w:szCs w:val="22"/>
              </w:rPr>
            </w:pPr>
            <w:r>
              <w:rPr>
                <w:rFonts w:ascii="Arial" w:eastAsia="Droid Sans Fallback" w:hAnsi="Arial" w:cs="Arial"/>
                <w:sz w:val="22"/>
                <w:lang w:bidi="hi-IN"/>
              </w:rPr>
              <w:t xml:space="preserve">Année </w:t>
            </w:r>
            <w:r>
              <w:rPr>
                <w:rFonts w:ascii="Arial" w:eastAsia="Droid Sans Fallback" w:hAnsi="Arial" w:cs="Arial"/>
                <w:sz w:val="22"/>
                <w:highlight w:val="lightGray"/>
                <w:lang w:bidi="hi-IN"/>
              </w:rPr>
              <w:t>n-1</w:t>
            </w:r>
            <w:r>
              <w:rPr>
                <w:rFonts w:ascii="Arial" w:eastAsia="Droid Sans Fallback" w:hAnsi="Arial" w:cs="Arial"/>
                <w:sz w:val="22"/>
                <w:lang w:bidi="hi-IN"/>
              </w:rPr>
              <w:t xml:space="preserve"> (en €)</w:t>
            </w:r>
          </w:p>
        </w:tc>
      </w:tr>
      <w:tr w:rsidR="00C86BBD">
        <w:tc>
          <w:tcPr>
            <w:tcW w:w="2076" w:type="dxa"/>
            <w:vMerge w:val="restart"/>
            <w:tcBorders>
              <w:top w:val="single" w:sz="2" w:space="0" w:color="000001"/>
              <w:left w:val="single" w:sz="2" w:space="0" w:color="000001"/>
              <w:right w:val="single" w:sz="2" w:space="0" w:color="000001"/>
            </w:tcBorders>
            <w:shd w:val="clear" w:color="auto" w:fill="auto"/>
            <w:tcMar>
              <w:left w:w="8" w:type="dxa"/>
            </w:tcMar>
          </w:tcPr>
          <w:p w:rsidR="00C86BBD" w:rsidRDefault="00261BD5">
            <w:pPr>
              <w:pStyle w:val="Contenudetableau"/>
              <w:rPr>
                <w:rFonts w:ascii="Arial" w:eastAsia="Droid Sans Fallback" w:hAnsi="Arial" w:cs="Arial"/>
                <w:sz w:val="22"/>
                <w:szCs w:val="22"/>
              </w:rPr>
            </w:pPr>
            <w:r>
              <w:rPr>
                <w:rFonts w:ascii="Arial" w:eastAsia="Droid Sans Fallback" w:hAnsi="Arial" w:cs="Arial"/>
                <w:sz w:val="22"/>
                <w:szCs w:val="22"/>
                <w:lang w:bidi="hi-IN"/>
              </w:rPr>
              <w:t>Bilan</w:t>
            </w: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hAnsi="Arial" w:cs="Arial"/>
                <w:kern w:val="2"/>
                <w:sz w:val="22"/>
                <w:szCs w:val="22"/>
                <w:lang w:bidi="hi-IN"/>
              </w:rPr>
              <w:t>Capitaux propres</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sz w:val="22"/>
                <w:highlight w:val="lightGray"/>
                <w:lang w:bidi="hi-IN"/>
              </w:rPr>
              <w:t>(PCN 10/15)</w:t>
            </w:r>
          </w:p>
        </w:tc>
      </w:tr>
      <w:tr w:rsidR="00C86BBD">
        <w:tc>
          <w:tcPr>
            <w:tcW w:w="2076" w:type="dxa"/>
            <w:vMerge/>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C86BBD">
            <w:pPr>
              <w:pStyle w:val="Contenudetableau"/>
              <w:rPr>
                <w:rFonts w:ascii="Arial" w:eastAsia="Droid Sans Fallback" w:hAnsi="Arial" w:cs="Arial"/>
                <w:sz w:val="22"/>
                <w:lang w:bidi="hi-IN"/>
              </w:rPr>
            </w:pP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eastAsia="Droid Sans Fallback" w:hAnsi="Arial" w:cs="Arial"/>
                <w:sz w:val="22"/>
                <w:szCs w:val="22"/>
                <w:lang w:bidi="hi-IN"/>
              </w:rPr>
              <w:t>Endettement</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kern w:val="2"/>
                <w:sz w:val="22"/>
                <w:highlight w:val="lightGray"/>
                <w:lang w:bidi="hi-IN"/>
              </w:rPr>
              <w:t>(PCN 17/49 ou total PCN 17 et 42 à 48)</w:t>
            </w:r>
          </w:p>
        </w:tc>
      </w:tr>
      <w:tr w:rsidR="00C86BBD">
        <w:tc>
          <w:tcPr>
            <w:tcW w:w="2076" w:type="dxa"/>
            <w:vMerge w:val="restart"/>
            <w:tcBorders>
              <w:top w:val="single" w:sz="2" w:space="0" w:color="000001"/>
              <w:left w:val="single" w:sz="2" w:space="0" w:color="000001"/>
              <w:right w:val="single" w:sz="2" w:space="0" w:color="000001"/>
            </w:tcBorders>
            <w:shd w:val="clear" w:color="auto" w:fill="auto"/>
            <w:tcMar>
              <w:left w:w="8" w:type="dxa"/>
            </w:tcMar>
          </w:tcPr>
          <w:p w:rsidR="00C86BBD" w:rsidRDefault="00261BD5">
            <w:pPr>
              <w:pStyle w:val="Contenudetableau"/>
              <w:rPr>
                <w:rFonts w:ascii="Arial" w:eastAsia="Droid Sans Fallback" w:hAnsi="Arial" w:cs="Arial"/>
                <w:sz w:val="22"/>
                <w:szCs w:val="22"/>
              </w:rPr>
            </w:pPr>
            <w:r>
              <w:rPr>
                <w:rFonts w:ascii="Arial" w:eastAsia="Droid Sans Fallback" w:hAnsi="Arial" w:cs="Arial"/>
                <w:sz w:val="22"/>
                <w:szCs w:val="22"/>
                <w:lang w:bidi="hi-IN"/>
              </w:rPr>
              <w:t>Compte de résultat</w:t>
            </w: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eastAsia="Droid Sans Fallback" w:hAnsi="Arial" w:cs="Arial"/>
                <w:sz w:val="22"/>
                <w:szCs w:val="22"/>
                <w:lang w:bidi="hi-IN"/>
              </w:rPr>
              <w:t>Chiffre d’affaires</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kern w:val="2"/>
                <w:sz w:val="22"/>
                <w:highlight w:val="lightGray"/>
                <w:lang w:bidi="hi-IN"/>
              </w:rPr>
              <w:t>(PCN 70)</w:t>
            </w:r>
          </w:p>
        </w:tc>
      </w:tr>
      <w:tr w:rsidR="00C86BBD">
        <w:tc>
          <w:tcPr>
            <w:tcW w:w="2076" w:type="dxa"/>
            <w:vMerge/>
            <w:tcBorders>
              <w:left w:val="single" w:sz="2" w:space="0" w:color="000001"/>
              <w:right w:val="single" w:sz="2" w:space="0" w:color="000001"/>
            </w:tcBorders>
            <w:shd w:val="clear" w:color="auto" w:fill="auto"/>
            <w:tcMar>
              <w:left w:w="8" w:type="dxa"/>
            </w:tcMar>
          </w:tcPr>
          <w:p w:rsidR="00C86BBD" w:rsidRDefault="00C86BBD">
            <w:pPr>
              <w:pStyle w:val="Contenudetableau"/>
              <w:rPr>
                <w:rFonts w:ascii="Arial" w:hAnsi="Arial" w:cs="Arial"/>
                <w:sz w:val="22"/>
                <w:highlight w:val="green"/>
                <w:lang w:bidi="hi-IN"/>
              </w:rPr>
            </w:pP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eastAsia="Droid Sans Fallback" w:hAnsi="Arial" w:cs="Arial"/>
                <w:sz w:val="22"/>
                <w:szCs w:val="22"/>
                <w:lang w:bidi="hi-IN"/>
              </w:rPr>
              <w:t>Total des charges</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sz w:val="22"/>
                <w:highlight w:val="lightGray"/>
                <w:lang w:bidi="hi-IN"/>
              </w:rPr>
              <w:t>(Total PCN 60 à 64)</w:t>
            </w:r>
          </w:p>
        </w:tc>
      </w:tr>
      <w:tr w:rsidR="00C86BBD">
        <w:tc>
          <w:tcPr>
            <w:tcW w:w="2076" w:type="dxa"/>
            <w:vMerge/>
            <w:tcBorders>
              <w:left w:val="single" w:sz="2" w:space="0" w:color="000001"/>
              <w:right w:val="single" w:sz="2" w:space="0" w:color="000001"/>
            </w:tcBorders>
            <w:shd w:val="clear" w:color="auto" w:fill="auto"/>
            <w:tcMar>
              <w:left w:w="8" w:type="dxa"/>
            </w:tcMar>
          </w:tcPr>
          <w:p w:rsidR="00C86BBD" w:rsidRDefault="00C86BBD">
            <w:pPr>
              <w:pStyle w:val="Contenudetableau"/>
              <w:rPr>
                <w:rFonts w:ascii="Arial" w:hAnsi="Arial" w:cs="Arial"/>
                <w:sz w:val="22"/>
                <w:highlight w:val="green"/>
                <w:lang w:bidi="hi-IN"/>
              </w:rPr>
            </w:pP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eastAsia="Droid Sans Fallback" w:hAnsi="Arial" w:cs="Arial"/>
                <w:sz w:val="22"/>
                <w:szCs w:val="22"/>
                <w:lang w:bidi="hi-IN"/>
              </w:rPr>
              <w:t>Amortissements</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kern w:val="2"/>
                <w:sz w:val="22"/>
                <w:highlight w:val="lightGray"/>
                <w:lang w:bidi="hi-IN"/>
              </w:rPr>
              <w:t>(PCN 630)</w:t>
            </w:r>
          </w:p>
        </w:tc>
      </w:tr>
      <w:tr w:rsidR="00C86BBD">
        <w:tc>
          <w:tcPr>
            <w:tcW w:w="2076" w:type="dxa"/>
            <w:vMerge/>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C86BBD">
            <w:pPr>
              <w:pStyle w:val="Contenudetableau"/>
              <w:rPr>
                <w:rFonts w:ascii="Arial" w:hAnsi="Arial" w:cs="Arial"/>
                <w:sz w:val="22"/>
                <w:highlight w:val="green"/>
                <w:lang w:bidi="hi-IN"/>
              </w:rPr>
            </w:pPr>
          </w:p>
        </w:tc>
        <w:tc>
          <w:tcPr>
            <w:tcW w:w="2123"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lang w:bidi="hi-IN"/>
              </w:rPr>
            </w:pPr>
            <w:r>
              <w:rPr>
                <w:rFonts w:ascii="Arial" w:eastAsia="Droid Sans Fallback" w:hAnsi="Arial" w:cs="Arial"/>
                <w:sz w:val="22"/>
                <w:szCs w:val="22"/>
                <w:lang w:bidi="hi-IN"/>
              </w:rPr>
              <w:t xml:space="preserve">Bénéfice (Perte) de l’exercice </w:t>
            </w:r>
            <w:r>
              <w:rPr>
                <w:rFonts w:ascii="Arial" w:eastAsia="Droid Sans Fallback" w:hAnsi="Arial" w:cs="Arial"/>
                <w:sz w:val="22"/>
                <w:szCs w:val="22"/>
                <w:lang w:bidi="hi-IN"/>
              </w:rPr>
              <w:t>avant impôts</w:t>
            </w:r>
          </w:p>
        </w:tc>
        <w:tc>
          <w:tcPr>
            <w:tcW w:w="5153" w:type="dxa"/>
            <w:tcBorders>
              <w:top w:val="single" w:sz="2" w:space="0" w:color="000001"/>
              <w:left w:val="single" w:sz="2" w:space="0" w:color="000001"/>
              <w:bottom w:val="single" w:sz="2" w:space="0" w:color="000001"/>
              <w:right w:val="single" w:sz="2" w:space="0" w:color="000001"/>
            </w:tcBorders>
            <w:shd w:val="clear" w:color="auto" w:fill="auto"/>
            <w:tcMar>
              <w:left w:w="8" w:type="dxa"/>
            </w:tcMar>
          </w:tcPr>
          <w:p w:rsidR="00C86BBD" w:rsidRDefault="00261BD5">
            <w:pPr>
              <w:pStyle w:val="Contenudetableau"/>
              <w:jc w:val="right"/>
              <w:rPr>
                <w:lang w:bidi="hi-IN"/>
              </w:rPr>
            </w:pPr>
            <w:r>
              <w:rPr>
                <w:rFonts w:ascii="Arial" w:eastAsia="Droid Sans Fallback" w:hAnsi="Arial" w:cs="Arial"/>
                <w:kern w:val="2"/>
                <w:sz w:val="22"/>
                <w:highlight w:val="lightGray"/>
                <w:lang w:bidi="hi-IN"/>
              </w:rPr>
              <w:t>(PCN 9904)</w:t>
            </w:r>
          </w:p>
        </w:tc>
      </w:tr>
    </w:tbl>
    <w:p w:rsidR="00C86BBD" w:rsidRDefault="00C86BBD">
      <w:pPr>
        <w:jc w:val="left"/>
        <w:rPr>
          <w:rFonts w:ascii="Arial" w:hAnsi="Arial" w:cs="Arial"/>
          <w:color w:val="141414"/>
          <w:sz w:val="22"/>
          <w:szCs w:val="22"/>
        </w:rPr>
      </w:pPr>
    </w:p>
    <w:p w:rsidR="00C86BBD" w:rsidRDefault="00261BD5">
      <w:pPr>
        <w:pStyle w:val="Titre1"/>
        <w:keepLines w:val="0"/>
        <w:numPr>
          <w:ilvl w:val="1"/>
          <w:numId w:val="2"/>
        </w:numPr>
        <w:tabs>
          <w:tab w:val="left" w:pos="-360"/>
        </w:tabs>
        <w:spacing w:before="0" w:after="0"/>
        <w:ind w:left="0"/>
        <w:jc w:val="left"/>
        <w:rPr>
          <w:sz w:val="22"/>
          <w:szCs w:val="22"/>
        </w:rPr>
      </w:pPr>
      <w:r>
        <w:rPr>
          <w:sz w:val="22"/>
          <w:szCs w:val="22"/>
        </w:rPr>
        <w:t>Risques de l'investissement</w:t>
      </w:r>
    </w:p>
    <w:p w:rsidR="00C86BBD" w:rsidRDefault="00C86BBD">
      <w:pPr>
        <w:rPr>
          <w:lang w:val="fr-BE"/>
        </w:rPr>
      </w:pPr>
    </w:p>
    <w:tbl>
      <w:tblPr>
        <w:tblW w:w="9418" w:type="dxa"/>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4A0" w:firstRow="1" w:lastRow="0" w:firstColumn="1" w:lastColumn="0" w:noHBand="0" w:noVBand="1"/>
      </w:tblPr>
      <w:tblGrid>
        <w:gridCol w:w="3855"/>
        <w:gridCol w:w="5563"/>
      </w:tblGrid>
      <w:tr w:rsidR="00C86BBD">
        <w:tc>
          <w:tcPr>
            <w:tcW w:w="3855" w:type="dxa"/>
            <w:tcBorders>
              <w:top w:val="single" w:sz="2" w:space="0" w:color="000001"/>
              <w:left w:val="single" w:sz="2" w:space="0" w:color="000001"/>
              <w:bottom w:val="single" w:sz="2" w:space="0" w:color="000001"/>
            </w:tcBorders>
            <w:shd w:val="clear" w:color="auto" w:fill="auto"/>
          </w:tcPr>
          <w:p w:rsidR="00C86BBD" w:rsidRDefault="00261BD5">
            <w:pPr>
              <w:pStyle w:val="Contenudetableau"/>
              <w:rPr>
                <w:rFonts w:ascii="Arial" w:hAnsi="Arial" w:cs="Arial"/>
                <w:sz w:val="22"/>
                <w:szCs w:val="22"/>
              </w:rPr>
            </w:pPr>
            <w:r>
              <w:rPr>
                <w:rFonts w:ascii="Arial" w:hAnsi="Arial" w:cs="Arial"/>
                <w:sz w:val="22"/>
                <w:szCs w:val="22"/>
              </w:rPr>
              <w:t>Risque de crédit :</w:t>
            </w:r>
          </w:p>
          <w:p w:rsidR="00C86BBD" w:rsidRDefault="00261BD5">
            <w:pPr>
              <w:pStyle w:val="Listenabsatz1"/>
              <w:ind w:left="0"/>
              <w:contextualSpacing/>
              <w:rPr>
                <w:rFonts w:ascii="Arial" w:hAnsi="Arial" w:cs="Arial"/>
                <w:sz w:val="22"/>
                <w:szCs w:val="22"/>
                <w:lang w:val="fr-BE"/>
              </w:rPr>
            </w:pPr>
            <w:r>
              <w:rPr>
                <w:rFonts w:ascii="Arial" w:hAnsi="Arial" w:cs="Arial"/>
                <w:sz w:val="22"/>
                <w:szCs w:val="22"/>
                <w:lang w:val="fr-BE"/>
              </w:rPr>
              <w:t xml:space="preserve">Le ratio de solvabilité (montant de fonds propres divisé par le total du bilan) permet d’estimer la proportion des fonds propres par rapport aux fonds étrangers. En règle générale, </w:t>
            </w:r>
            <w:r>
              <w:rPr>
                <w:rFonts w:ascii="Arial" w:hAnsi="Arial" w:cs="Arial"/>
                <w:sz w:val="22"/>
                <w:szCs w:val="22"/>
                <w:lang w:val="fr-BE"/>
              </w:rPr>
              <w:t>on considère qu'une entreprises est solvable dès lors que la part des fonds propres dans le total bilan est égale ou supérieure à 20 %.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Listenabsatz1"/>
              <w:ind w:left="0"/>
              <w:contextualSpacing/>
            </w:pPr>
            <w:r>
              <w:rPr>
                <w:rFonts w:ascii="Arial" w:hAnsi="Arial" w:cs="Arial"/>
                <w:sz w:val="22"/>
                <w:szCs w:val="22"/>
                <w:lang w:val="fr-BE"/>
              </w:rPr>
              <w:t xml:space="preserve">Le ratio de solvabilité </w:t>
            </w:r>
            <w:r>
              <w:rPr>
                <w:rFonts w:ascii="Arial" w:hAnsi="Arial" w:cs="Arial"/>
                <w:sz w:val="22"/>
                <w:szCs w:val="22"/>
              </w:rPr>
              <w:t xml:space="preserve">est de </w:t>
            </w:r>
            <w:r>
              <w:rPr>
                <w:rFonts w:ascii="Arial" w:hAnsi="Arial" w:cs="Arial"/>
                <w:sz w:val="22"/>
                <w:szCs w:val="22"/>
                <w:highlight w:val="lightGray"/>
              </w:rPr>
              <w:t>XX</w:t>
            </w:r>
            <w:r>
              <w:rPr>
                <w:rFonts w:ascii="Arial" w:hAnsi="Arial" w:cs="Arial"/>
                <w:sz w:val="22"/>
                <w:szCs w:val="22"/>
              </w:rPr>
              <w:t xml:space="preserve"> au [</w:t>
            </w:r>
            <w:r>
              <w:rPr>
                <w:rFonts w:ascii="Arial" w:hAnsi="Arial" w:cs="Arial"/>
                <w:sz w:val="22"/>
                <w:szCs w:val="22"/>
                <w:highlight w:val="lightGray"/>
              </w:rPr>
              <w:t>date</w:t>
            </w:r>
            <w:r>
              <w:rPr>
                <w:rFonts w:ascii="Arial" w:hAnsi="Arial" w:cs="Arial"/>
                <w:sz w:val="22"/>
                <w:szCs w:val="22"/>
              </w:rPr>
              <w:t xml:space="preserve">]. </w:t>
            </w:r>
          </w:p>
          <w:p w:rsidR="00C86BBD" w:rsidRDefault="00C86BBD">
            <w:pPr>
              <w:pStyle w:val="Listenabsatz1"/>
              <w:ind w:left="0"/>
              <w:contextualSpacing/>
              <w:rPr>
                <w:rFonts w:ascii="Arial" w:hAnsi="Arial" w:cs="Arial"/>
                <w:i/>
                <w:sz w:val="22"/>
                <w:szCs w:val="22"/>
                <w:lang w:val="fr-BE"/>
              </w:rPr>
            </w:pPr>
          </w:p>
          <w:p w:rsidR="00C86BBD" w:rsidRDefault="00261BD5">
            <w:pPr>
              <w:pStyle w:val="Listenabsatz1"/>
              <w:ind w:left="0"/>
              <w:contextualSpacing/>
            </w:pPr>
            <w:r>
              <w:rPr>
                <w:rFonts w:ascii="Arial" w:hAnsi="Arial" w:cs="Arial"/>
                <w:sz w:val="22"/>
                <w:szCs w:val="22"/>
              </w:rPr>
              <w:t>Voir également chiffres-clefs de l’émetteur au point 4.</w:t>
            </w:r>
          </w:p>
          <w:p w:rsidR="00C86BBD" w:rsidRDefault="00C86BBD">
            <w:pPr>
              <w:pStyle w:val="Listenabsatz1"/>
              <w:ind w:left="0"/>
              <w:contextualSpacing/>
              <w:rPr>
                <w:rFonts w:ascii="Arial" w:hAnsi="Arial" w:cs="Arial"/>
                <w:i/>
                <w:sz w:val="22"/>
                <w:szCs w:val="22"/>
                <w:lang w:val="fr-BE"/>
              </w:rPr>
            </w:pPr>
          </w:p>
        </w:tc>
      </w:tr>
      <w:tr w:rsidR="00C86BBD">
        <w:tc>
          <w:tcPr>
            <w:tcW w:w="3855"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 xml:space="preserve">Risque de </w:t>
            </w:r>
            <w:r>
              <w:rPr>
                <w:rFonts w:ascii="Arial" w:hAnsi="Arial" w:cs="Arial"/>
                <w:sz w:val="22"/>
                <w:szCs w:val="22"/>
              </w:rPr>
              <w:t>perte de la totalité du capital investi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Listenabsatz1"/>
              <w:ind w:left="0"/>
              <w:contextualSpacing/>
              <w:rPr>
                <w:rFonts w:ascii="Arial" w:hAnsi="Arial" w:cs="Arial"/>
                <w:sz w:val="22"/>
                <w:szCs w:val="22"/>
                <w:highlight w:val="yellow"/>
              </w:rPr>
            </w:pPr>
            <w:r>
              <w:rPr>
                <w:rFonts w:ascii="Arial" w:hAnsi="Arial" w:cs="Arial"/>
                <w:sz w:val="22"/>
                <w:szCs w:val="22"/>
                <w:highlight w:val="lightGray"/>
              </w:rPr>
              <w:t>…</w:t>
            </w:r>
            <w:r>
              <w:rPr>
                <w:rFonts w:ascii="Arial" w:hAnsi="Arial" w:cs="Arial"/>
                <w:sz w:val="22"/>
                <w:szCs w:val="22"/>
              </w:rPr>
              <w:t xml:space="preserve"> </w:t>
            </w:r>
          </w:p>
        </w:tc>
      </w:tr>
      <w:tr w:rsidR="00C86BBD">
        <w:tc>
          <w:tcPr>
            <w:tcW w:w="3855" w:type="dxa"/>
            <w:tcBorders>
              <w:top w:val="single" w:sz="2" w:space="0" w:color="000001"/>
              <w:left w:val="single" w:sz="2" w:space="0" w:color="000001"/>
              <w:bottom w:val="single" w:sz="2" w:space="0" w:color="000001"/>
            </w:tcBorders>
            <w:shd w:val="clear" w:color="auto" w:fill="auto"/>
          </w:tcPr>
          <w:p w:rsidR="00C86BBD" w:rsidRDefault="00261BD5">
            <w:pPr>
              <w:pStyle w:val="Contenudetableau"/>
              <w:rPr>
                <w:rFonts w:ascii="Arial" w:hAnsi="Arial" w:cs="Arial"/>
                <w:sz w:val="22"/>
                <w:szCs w:val="22"/>
              </w:rPr>
            </w:pPr>
            <w:r>
              <w:rPr>
                <w:rFonts w:ascii="Arial" w:hAnsi="Arial" w:cs="Arial"/>
                <w:sz w:val="22"/>
                <w:szCs w:val="22"/>
              </w:rPr>
              <w:t xml:space="preserve">Risque de liquidité : </w:t>
            </w:r>
          </w:p>
          <w:p w:rsidR="00C86BBD" w:rsidRDefault="00261BD5">
            <w:pPr>
              <w:pStyle w:val="Contenudetableau"/>
              <w:rPr>
                <w:rFonts w:ascii="Arial" w:hAnsi="Arial" w:cs="Arial"/>
                <w:i/>
                <w:sz w:val="22"/>
                <w:szCs w:val="22"/>
              </w:rPr>
            </w:pPr>
            <w:r>
              <w:rPr>
                <w:rFonts w:ascii="Arial" w:hAnsi="Arial" w:cs="Arial"/>
                <w:i/>
                <w:sz w:val="22"/>
                <w:szCs w:val="22"/>
              </w:rPr>
              <w:t xml:space="preserve">Le ratio de liquidité général (actifs </w:t>
            </w:r>
            <w:r>
              <w:rPr>
                <w:rFonts w:ascii="Arial" w:hAnsi="Arial" w:cs="Arial"/>
                <w:i/>
                <w:sz w:val="22"/>
                <w:szCs w:val="22"/>
              </w:rPr>
              <w:lastRenderedPageBreak/>
              <w:t>circulants divisés par dettes à court terme) permet d’estimer la capacité de la structure à régler ses dettes à court terme. Pour une entreprise comm</w:t>
            </w:r>
            <w:r>
              <w:rPr>
                <w:rFonts w:ascii="Arial" w:hAnsi="Arial" w:cs="Arial"/>
                <w:i/>
                <w:sz w:val="22"/>
                <w:szCs w:val="22"/>
              </w:rPr>
              <w:t>erciale, il est jugé correct à partir de 1.</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pPr>
            <w:r w:rsidRPr="00261BD5">
              <w:rPr>
                <w:rFonts w:ascii="Arial" w:hAnsi="Arial" w:cs="Arial"/>
                <w:sz w:val="22"/>
                <w:szCs w:val="22"/>
              </w:rPr>
              <w:lastRenderedPageBreak/>
              <w:t xml:space="preserve">Le ratio de liquidité </w:t>
            </w:r>
            <w:bookmarkStart w:id="0" w:name="_GoBack"/>
            <w:bookmarkEnd w:id="0"/>
            <w:r>
              <w:rPr>
                <w:rFonts w:ascii="Arial" w:hAnsi="Arial" w:cs="Arial"/>
                <w:sz w:val="22"/>
                <w:szCs w:val="22"/>
              </w:rPr>
              <w:t xml:space="preserve">est de </w:t>
            </w:r>
            <w:r>
              <w:rPr>
                <w:rFonts w:ascii="Arial" w:hAnsi="Arial" w:cs="Arial"/>
                <w:sz w:val="22"/>
                <w:szCs w:val="22"/>
                <w:highlight w:val="lightGray"/>
              </w:rPr>
              <w:t>XX</w:t>
            </w:r>
            <w:r>
              <w:rPr>
                <w:rFonts w:ascii="Arial" w:hAnsi="Arial" w:cs="Arial"/>
                <w:sz w:val="22"/>
                <w:szCs w:val="22"/>
              </w:rPr>
              <w:t xml:space="preserve"> au [</w:t>
            </w:r>
            <w:r>
              <w:rPr>
                <w:rFonts w:ascii="Arial" w:hAnsi="Arial" w:cs="Arial"/>
                <w:sz w:val="22"/>
                <w:szCs w:val="22"/>
                <w:highlight w:val="lightGray"/>
              </w:rPr>
              <w:t>date</w:t>
            </w:r>
            <w:r>
              <w:rPr>
                <w:rFonts w:ascii="Arial" w:hAnsi="Arial" w:cs="Arial"/>
                <w:sz w:val="22"/>
                <w:szCs w:val="22"/>
              </w:rPr>
              <w:t>].</w:t>
            </w:r>
          </w:p>
          <w:p w:rsidR="00C86BBD" w:rsidRDefault="00C86BBD">
            <w:pPr>
              <w:pStyle w:val="Contenudetableau"/>
              <w:jc w:val="left"/>
              <w:rPr>
                <w:rFonts w:ascii="Arial" w:hAnsi="Arial" w:cs="Arial"/>
                <w:i/>
                <w:sz w:val="22"/>
                <w:szCs w:val="22"/>
              </w:rPr>
            </w:pPr>
          </w:p>
        </w:tc>
      </w:tr>
      <w:tr w:rsidR="00C86BBD">
        <w:tc>
          <w:tcPr>
            <w:tcW w:w="3855"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lastRenderedPageBreak/>
              <w:t>Possibilités de remboursement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Résumer vos statuts sur la question, quand peut-ont demander un remboursement ?</w:t>
            </w:r>
          </w:p>
        </w:tc>
      </w:tr>
      <w:tr w:rsidR="00C86BBD">
        <w:tc>
          <w:tcPr>
            <w:tcW w:w="3855" w:type="dxa"/>
            <w:tcBorders>
              <w:top w:val="single" w:sz="2" w:space="0" w:color="000001"/>
              <w:left w:val="single" w:sz="2" w:space="0" w:color="000001"/>
              <w:bottom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Risque de fluctuation du prix du titre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 xml:space="preserve">Le </w:t>
            </w:r>
            <w:r>
              <w:rPr>
                <w:rFonts w:ascii="Arial" w:hAnsi="Arial" w:cs="Arial"/>
                <w:sz w:val="22"/>
                <w:szCs w:val="22"/>
                <w:highlight w:val="lightGray"/>
              </w:rPr>
              <w:t xml:space="preserve">remboursement éventuel des parts se </w:t>
            </w:r>
            <w:proofErr w:type="spellStart"/>
            <w:r>
              <w:rPr>
                <w:rFonts w:ascii="Arial" w:hAnsi="Arial" w:cs="Arial"/>
                <w:sz w:val="22"/>
                <w:szCs w:val="22"/>
                <w:highlight w:val="lightGray"/>
              </w:rPr>
              <w:t>fera-t-il</w:t>
            </w:r>
            <w:proofErr w:type="spellEnd"/>
            <w:r>
              <w:rPr>
                <w:rFonts w:ascii="Arial" w:hAnsi="Arial" w:cs="Arial"/>
                <w:sz w:val="22"/>
                <w:szCs w:val="22"/>
                <w:highlight w:val="lightGray"/>
              </w:rPr>
              <w:t xml:space="preserve"> au prix de la valeur comptable ou est-il limité au prix d’achat ?</w:t>
            </w:r>
          </w:p>
        </w:tc>
      </w:tr>
      <w:tr w:rsidR="00C86BBD">
        <w:tc>
          <w:tcPr>
            <w:tcW w:w="3855"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Risques propres à l’émetteur - gouvernance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(exemples : dépendez-vous de personnes à responsabilité clef ? avez-vous l’expertise dont vous ave</w:t>
            </w:r>
            <w:r>
              <w:rPr>
                <w:rFonts w:ascii="Arial" w:hAnsi="Arial" w:cs="Arial"/>
                <w:sz w:val="22"/>
                <w:szCs w:val="22"/>
                <w:highlight w:val="lightGray"/>
              </w:rPr>
              <w:t>z besoin ? avez-vous une équipe stable ? avez-vous encadrement suffisant : CA, AG, comité de conseil interne ou externe ?)</w:t>
            </w:r>
          </w:p>
        </w:tc>
      </w:tr>
      <w:tr w:rsidR="00C86BBD">
        <w:tc>
          <w:tcPr>
            <w:tcW w:w="3855"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Risques propres à l’émetteur - opérationnels et commerciaux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(exemples : quels sont vos risques de développement, de production, de</w:t>
            </w:r>
            <w:r>
              <w:rPr>
                <w:rFonts w:ascii="Arial" w:hAnsi="Arial" w:cs="Arial"/>
                <w:sz w:val="22"/>
                <w:szCs w:val="22"/>
                <w:highlight w:val="lightGray"/>
              </w:rPr>
              <w:t xml:space="preserve"> distribution, de ventes, d’infrastructure, de permis, etc. ?)</w:t>
            </w:r>
          </w:p>
        </w:tc>
      </w:tr>
      <w:tr w:rsidR="00C86BBD">
        <w:tc>
          <w:tcPr>
            <w:tcW w:w="3855"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Risques propres à l’émetteur -  liés aux subventions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w:t>
            </w:r>
          </w:p>
        </w:tc>
      </w:tr>
      <w:tr w:rsidR="00C86BBD">
        <w:tc>
          <w:tcPr>
            <w:tcW w:w="3855"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rPr>
                <w:rFonts w:ascii="Arial" w:hAnsi="Arial" w:cs="Arial"/>
                <w:sz w:val="22"/>
                <w:szCs w:val="22"/>
              </w:rPr>
            </w:pPr>
            <w:r>
              <w:rPr>
                <w:rFonts w:ascii="Arial" w:hAnsi="Arial" w:cs="Arial"/>
                <w:sz w:val="22"/>
                <w:szCs w:val="22"/>
              </w:rPr>
              <w:t>Autres risques :</w:t>
            </w:r>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highlight w:val="lightGray"/>
              </w:rPr>
            </w:pPr>
            <w:r>
              <w:rPr>
                <w:rFonts w:ascii="Arial" w:hAnsi="Arial" w:cs="Arial"/>
                <w:sz w:val="22"/>
                <w:szCs w:val="22"/>
                <w:highlight w:val="lightGray"/>
              </w:rPr>
              <w:t>…</w:t>
            </w:r>
          </w:p>
        </w:tc>
      </w:tr>
      <w:tr w:rsidR="00C86BBD">
        <w:tc>
          <w:tcPr>
            <w:tcW w:w="3855"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jc w:val="left"/>
            </w:pPr>
            <w:r>
              <w:rPr>
                <w:rFonts w:ascii="Arial" w:hAnsi="Arial" w:cs="Arial"/>
                <w:sz w:val="22"/>
                <w:szCs w:val="22"/>
              </w:rPr>
              <w:t>Date prévue du break-</w:t>
            </w:r>
            <w:proofErr w:type="spellStart"/>
            <w:r>
              <w:rPr>
                <w:rFonts w:ascii="Arial" w:hAnsi="Arial" w:cs="Arial"/>
                <w:sz w:val="22"/>
                <w:szCs w:val="22"/>
              </w:rPr>
              <w:t>even</w:t>
            </w:r>
            <w:proofErr w:type="spellEnd"/>
          </w:p>
        </w:tc>
        <w:tc>
          <w:tcPr>
            <w:tcW w:w="5562" w:type="dxa"/>
            <w:tcBorders>
              <w:top w:val="single" w:sz="2" w:space="0" w:color="000001"/>
              <w:left w:val="single" w:sz="2" w:space="0" w:color="000001"/>
              <w:bottom w:val="single" w:sz="2" w:space="0" w:color="000001"/>
              <w:right w:val="single" w:sz="2" w:space="0" w:color="000001"/>
            </w:tcBorders>
            <w:shd w:val="clear" w:color="auto" w:fill="auto"/>
          </w:tcPr>
          <w:p w:rsidR="00C86BBD" w:rsidRDefault="00261BD5">
            <w:pPr>
              <w:pStyle w:val="Contenudetableau"/>
              <w:rPr>
                <w:rFonts w:ascii="Arial" w:hAnsi="Arial" w:cs="Arial"/>
                <w:sz w:val="22"/>
                <w:szCs w:val="22"/>
              </w:rPr>
            </w:pPr>
            <w:r>
              <w:rPr>
                <w:rFonts w:ascii="Arial" w:hAnsi="Arial" w:cs="Arial"/>
                <w:sz w:val="22"/>
                <w:szCs w:val="22"/>
                <w:highlight w:val="lightGray"/>
              </w:rPr>
              <w:t xml:space="preserve">Date à laquelle le niveau d’activité de l’entreprise permet un bénéfice par rapport aux </w:t>
            </w:r>
            <w:r>
              <w:rPr>
                <w:rFonts w:ascii="Arial" w:hAnsi="Arial" w:cs="Arial"/>
                <w:sz w:val="22"/>
                <w:szCs w:val="22"/>
                <w:highlight w:val="lightGray"/>
              </w:rPr>
              <w:t>investissements prévus</w:t>
            </w:r>
          </w:p>
        </w:tc>
      </w:tr>
    </w:tbl>
    <w:p w:rsidR="00C86BBD" w:rsidRDefault="00261BD5">
      <w:r>
        <w:rPr>
          <w:rFonts w:ascii="Arial" w:hAnsi="Arial" w:cs="Arial"/>
          <w:color w:val="141414"/>
          <w:sz w:val="22"/>
          <w:szCs w:val="22"/>
        </w:rPr>
        <w:t>Veuillez consulter le plan financier de l’émetteur pour plus d’informations.</w:t>
      </w:r>
    </w:p>
    <w:p w:rsidR="00C86BBD" w:rsidRDefault="00C86BBD">
      <w:pPr>
        <w:pStyle w:val="Paragraphedeliste"/>
        <w:ind w:left="0"/>
        <w:jc w:val="left"/>
        <w:rPr>
          <w:rFonts w:ascii="Arial" w:hAnsi="Arial" w:cs="Arial"/>
          <w:sz w:val="22"/>
          <w:szCs w:val="22"/>
        </w:rPr>
      </w:pPr>
    </w:p>
    <w:p w:rsidR="00C86BBD" w:rsidRDefault="00261BD5">
      <w:pPr>
        <w:pStyle w:val="Titre1"/>
        <w:keepLines w:val="0"/>
        <w:numPr>
          <w:ilvl w:val="1"/>
          <w:numId w:val="2"/>
        </w:numPr>
        <w:tabs>
          <w:tab w:val="left" w:pos="-360"/>
        </w:tabs>
        <w:spacing w:before="0" w:after="0"/>
        <w:ind w:left="0"/>
        <w:jc w:val="left"/>
        <w:rPr>
          <w:sz w:val="22"/>
          <w:szCs w:val="22"/>
        </w:rPr>
      </w:pPr>
      <w:r>
        <w:rPr>
          <w:sz w:val="22"/>
          <w:szCs w:val="22"/>
        </w:rPr>
        <w:t>Frais</w:t>
      </w:r>
    </w:p>
    <w:p w:rsidR="00C86BBD" w:rsidRDefault="00261BD5">
      <w:pPr>
        <w:pStyle w:val="Paragraphedeliste"/>
        <w:ind w:left="1788"/>
        <w:jc w:val="left"/>
        <w:rPr>
          <w:rFonts w:ascii="Arial" w:hAnsi="Arial" w:cs="Arial"/>
          <w:color w:val="141414"/>
          <w:sz w:val="22"/>
          <w:szCs w:val="22"/>
          <w:highlight w:val="yellow"/>
        </w:rPr>
      </w:pPr>
      <w:r>
        <w:rPr>
          <w:rFonts w:ascii="Arial" w:hAnsi="Arial" w:cs="Arial"/>
          <w:color w:val="000000"/>
          <w:sz w:val="22"/>
          <w:szCs w:val="22"/>
        </w:rPr>
        <w:t>Éventuels frais liés aux actions.</w:t>
      </w:r>
    </w:p>
    <w:p w:rsidR="00C86BBD" w:rsidRDefault="00C86BBD">
      <w:pPr>
        <w:pStyle w:val="Paragraphedeliste"/>
        <w:ind w:left="1080"/>
        <w:contextualSpacing/>
        <w:jc w:val="left"/>
        <w:rPr>
          <w:rFonts w:ascii="Arial" w:hAnsi="Arial" w:cs="Arial"/>
          <w:color w:val="141414"/>
          <w:sz w:val="22"/>
          <w:szCs w:val="22"/>
        </w:rPr>
      </w:pPr>
    </w:p>
    <w:p w:rsidR="00C86BBD" w:rsidRDefault="00261BD5">
      <w:pPr>
        <w:pStyle w:val="Titre1"/>
        <w:keepLines w:val="0"/>
        <w:numPr>
          <w:ilvl w:val="1"/>
          <w:numId w:val="2"/>
        </w:numPr>
        <w:tabs>
          <w:tab w:val="left" w:pos="0"/>
        </w:tabs>
        <w:spacing w:before="0" w:after="0"/>
        <w:ind w:left="0"/>
        <w:jc w:val="left"/>
        <w:rPr>
          <w:sz w:val="22"/>
          <w:szCs w:val="22"/>
        </w:rPr>
      </w:pPr>
      <w:r>
        <w:rPr>
          <w:sz w:val="22"/>
          <w:szCs w:val="22"/>
        </w:rPr>
        <w:t>Résumé de la fiscalité</w:t>
      </w:r>
    </w:p>
    <w:p w:rsidR="00C86BBD" w:rsidRDefault="00C86BBD">
      <w:pPr>
        <w:rPr>
          <w:rFonts w:ascii="Arial" w:hAnsi="Arial" w:cs="Arial"/>
          <w:sz w:val="22"/>
          <w:szCs w:val="22"/>
          <w:lang w:val="fr-BE"/>
        </w:rPr>
      </w:pPr>
    </w:p>
    <w:tbl>
      <w:tblPr>
        <w:tblStyle w:val="Grilledutableau"/>
        <w:tblW w:w="9396" w:type="dxa"/>
        <w:tblInd w:w="-5" w:type="dxa"/>
        <w:tblCellMar>
          <w:left w:w="98" w:type="dxa"/>
        </w:tblCellMar>
        <w:tblLook w:val="04A0" w:firstRow="1" w:lastRow="0" w:firstColumn="1" w:lastColumn="0" w:noHBand="0" w:noVBand="1"/>
      </w:tblPr>
      <w:tblGrid>
        <w:gridCol w:w="2800"/>
        <w:gridCol w:w="6596"/>
      </w:tblGrid>
      <w:tr w:rsidR="00C86BBD">
        <w:tc>
          <w:tcPr>
            <w:tcW w:w="2800" w:type="dxa"/>
            <w:shd w:val="clear" w:color="auto" w:fill="auto"/>
          </w:tcPr>
          <w:p w:rsidR="00C86BBD" w:rsidRDefault="00261BD5">
            <w:pPr>
              <w:jc w:val="left"/>
              <w:rPr>
                <w:rFonts w:ascii="Arial" w:hAnsi="Arial" w:cs="Arial"/>
                <w:color w:val="141414"/>
                <w:sz w:val="22"/>
                <w:szCs w:val="22"/>
              </w:rPr>
            </w:pPr>
            <w:r>
              <w:rPr>
                <w:rFonts w:ascii="Arial" w:eastAsia="Droid Sans Fallback" w:hAnsi="Arial" w:cs="Arial"/>
                <w:color w:val="141414"/>
                <w:sz w:val="22"/>
                <w:szCs w:val="22"/>
                <w:lang w:bidi="hi-IN"/>
              </w:rPr>
              <w:t>Précompte mobilier :</w:t>
            </w:r>
          </w:p>
        </w:tc>
        <w:tc>
          <w:tcPr>
            <w:tcW w:w="6595" w:type="dxa"/>
            <w:shd w:val="clear" w:color="auto" w:fill="auto"/>
          </w:tcPr>
          <w:p w:rsidR="00C86BBD" w:rsidRDefault="00261BD5">
            <w:r>
              <w:rPr>
                <w:rFonts w:ascii="Arial" w:eastAsia="Droid Sans Fallback" w:hAnsi="Arial" w:cs="Arial"/>
                <w:color w:val="141414"/>
                <w:sz w:val="22"/>
                <w:lang w:bidi="hi-IN"/>
              </w:rPr>
              <w:t xml:space="preserve">Un précompte mobilier de 30 % est retenu à la source sur les dividendes. Les particuliers assujettis à l’impôt des personnes physiques sont toutefois exonérés de précompte mobilier sur la première tranche de 416,50 euros de dividende. </w:t>
            </w:r>
            <w:r>
              <w:rPr>
                <w:rFonts w:ascii="Arial" w:eastAsia="Droid Sans Fallback" w:hAnsi="Arial" w:cs="Arial"/>
                <w:b/>
                <w:bCs/>
                <w:color w:val="141414"/>
                <w:sz w:val="22"/>
                <w:lang w:bidi="hi-IN"/>
              </w:rPr>
              <w:t>Pour l’année de reven</w:t>
            </w:r>
            <w:r>
              <w:rPr>
                <w:rFonts w:ascii="Arial" w:eastAsia="Droid Sans Fallback" w:hAnsi="Arial" w:cs="Arial"/>
                <w:b/>
                <w:bCs/>
                <w:color w:val="141414"/>
                <w:sz w:val="22"/>
                <w:lang w:bidi="hi-IN"/>
              </w:rPr>
              <w:t>us 2018, exercice d’impôts 2019, le montant de l’exonération s’élève à 640€.</w:t>
            </w:r>
            <w:r>
              <w:rPr>
                <w:rStyle w:val="Ancredenotedebasdepage"/>
                <w:rFonts w:ascii="Arial" w:eastAsia="Droid Sans Fallback" w:hAnsi="Arial" w:cs="Arial"/>
                <w:b/>
                <w:bCs/>
                <w:color w:val="141414"/>
                <w:sz w:val="22"/>
                <w:lang w:bidi="hi-IN"/>
              </w:rPr>
              <w:footnoteReference w:id="2"/>
            </w:r>
            <w:r>
              <w:rPr>
                <w:rFonts w:ascii="Arial" w:eastAsia="Droid Sans Fallback" w:hAnsi="Arial" w:cs="Arial"/>
                <w:b/>
                <w:bCs/>
                <w:color w:val="141414"/>
                <w:sz w:val="22"/>
                <w:lang w:bidi="hi-IN"/>
              </w:rPr>
              <w:t xml:space="preserve"> </w:t>
            </w:r>
          </w:p>
        </w:tc>
      </w:tr>
      <w:tr w:rsidR="00C86BBD">
        <w:tc>
          <w:tcPr>
            <w:tcW w:w="2800" w:type="dxa"/>
            <w:shd w:val="clear" w:color="auto" w:fill="auto"/>
          </w:tcPr>
          <w:p w:rsidR="00C86BBD" w:rsidRDefault="00261BD5">
            <w:pPr>
              <w:jc w:val="left"/>
              <w:rPr>
                <w:rFonts w:ascii="Arial" w:hAnsi="Arial" w:cs="Arial"/>
                <w:color w:val="141414"/>
                <w:sz w:val="22"/>
                <w:szCs w:val="22"/>
                <w:lang w:val="en-US"/>
              </w:rPr>
            </w:pPr>
            <w:r>
              <w:rPr>
                <w:rFonts w:ascii="Arial" w:eastAsia="Droid Sans Fallback" w:hAnsi="Arial" w:cs="Arial"/>
                <w:color w:val="141414"/>
                <w:sz w:val="22"/>
                <w:lang w:val="fr-BE" w:bidi="hi-IN"/>
              </w:rPr>
              <w:t>Autres (</w:t>
            </w:r>
            <w:r>
              <w:rPr>
                <w:rFonts w:ascii="Arial" w:eastAsia="Droid Sans Fallback" w:hAnsi="Arial" w:cs="Arial"/>
                <w:color w:val="141414"/>
                <w:sz w:val="22"/>
                <w:lang w:val="en-US" w:bidi="hi-IN"/>
              </w:rPr>
              <w:t>tax shelter</w:t>
            </w:r>
            <w:r>
              <w:rPr>
                <w:rFonts w:ascii="Arial" w:eastAsia="Droid Sans Fallback" w:hAnsi="Arial" w:cs="Arial"/>
                <w:color w:val="141414"/>
                <w:sz w:val="22"/>
                <w:lang w:val="fr-BE" w:bidi="hi-IN"/>
              </w:rPr>
              <w:t>, etc.) :</w:t>
            </w:r>
          </w:p>
        </w:tc>
        <w:tc>
          <w:tcPr>
            <w:tcW w:w="6595" w:type="dxa"/>
            <w:shd w:val="clear" w:color="auto" w:fill="auto"/>
          </w:tcPr>
          <w:p w:rsidR="00C86BBD" w:rsidRDefault="00261BD5">
            <w:pPr>
              <w:jc w:val="left"/>
              <w:rPr>
                <w:rFonts w:ascii="Arial" w:hAnsi="Arial" w:cs="Arial"/>
                <w:color w:val="141414"/>
                <w:sz w:val="22"/>
                <w:szCs w:val="22"/>
                <w:highlight w:val="yellow"/>
                <w:lang w:val="en-US"/>
              </w:rPr>
            </w:pPr>
            <w:r>
              <w:rPr>
                <w:rFonts w:ascii="Arial" w:eastAsia="Droid Sans Fallback" w:hAnsi="Arial" w:cs="Arial"/>
                <w:color w:val="141414"/>
                <w:sz w:val="22"/>
                <w:szCs w:val="22"/>
                <w:highlight w:val="lightGray"/>
                <w:lang w:bidi="hi-IN"/>
              </w:rPr>
              <w:t>[Biffer si non-applicable]</w:t>
            </w:r>
          </w:p>
        </w:tc>
      </w:tr>
    </w:tbl>
    <w:p w:rsidR="00C86BBD" w:rsidRDefault="00C86BBD">
      <w:pPr>
        <w:jc w:val="left"/>
        <w:rPr>
          <w:rFonts w:ascii="Arial" w:hAnsi="Arial" w:cs="Arial"/>
          <w:color w:val="141414"/>
          <w:sz w:val="22"/>
          <w:szCs w:val="22"/>
        </w:rPr>
      </w:pPr>
    </w:p>
    <w:p w:rsidR="00C86BBD" w:rsidRDefault="00C86BBD">
      <w:pPr>
        <w:jc w:val="left"/>
        <w:rPr>
          <w:rFonts w:ascii="Arial" w:hAnsi="Arial" w:cs="Arial"/>
          <w:sz w:val="22"/>
          <w:szCs w:val="22"/>
        </w:rPr>
      </w:pPr>
    </w:p>
    <w:p w:rsidR="00C86BBD" w:rsidRDefault="00261BD5">
      <w:pPr>
        <w:pStyle w:val="Titre1"/>
        <w:keepLines w:val="0"/>
        <w:numPr>
          <w:ilvl w:val="1"/>
          <w:numId w:val="2"/>
        </w:numPr>
        <w:tabs>
          <w:tab w:val="left" w:pos="0"/>
        </w:tabs>
        <w:spacing w:before="0" w:after="0"/>
        <w:ind w:left="0"/>
        <w:jc w:val="left"/>
        <w:rPr>
          <w:sz w:val="22"/>
          <w:szCs w:val="22"/>
        </w:rPr>
      </w:pPr>
      <w:r>
        <w:rPr>
          <w:sz w:val="22"/>
          <w:szCs w:val="22"/>
        </w:rPr>
        <w:t>Informations pratiques</w:t>
      </w:r>
    </w:p>
    <w:p w:rsidR="00C86BBD" w:rsidRDefault="00C86BBD">
      <w:pPr>
        <w:rPr>
          <w:rFonts w:ascii="Arial" w:hAnsi="Arial" w:cs="Arial"/>
          <w:sz w:val="22"/>
          <w:szCs w:val="22"/>
          <w:lang w:val="fr-BE"/>
        </w:rPr>
      </w:pPr>
    </w:p>
    <w:p w:rsidR="00C86BBD" w:rsidRDefault="00261BD5">
      <w:pPr>
        <w:pStyle w:val="Paragraphedeliste"/>
        <w:ind w:left="0"/>
        <w:contextualSpacing/>
        <w:rPr>
          <w:rFonts w:ascii="Arial" w:hAnsi="Arial" w:cs="Arial"/>
          <w:sz w:val="22"/>
          <w:szCs w:val="22"/>
        </w:rPr>
      </w:pPr>
      <w:r>
        <w:rPr>
          <w:rFonts w:ascii="Arial" w:hAnsi="Arial" w:cs="Arial"/>
          <w:color w:val="000000"/>
          <w:sz w:val="22"/>
          <w:szCs w:val="22"/>
        </w:rPr>
        <w:t xml:space="preserve">En cas de plainte, vous pouvez vous adresser à </w:t>
      </w:r>
      <w:r>
        <w:rPr>
          <w:rFonts w:ascii="Arial" w:eastAsia="Droid Sans Fallback" w:hAnsi="Arial" w:cs="Arial"/>
          <w:i/>
          <w:iCs/>
          <w:color w:val="141414"/>
          <w:sz w:val="22"/>
          <w:szCs w:val="22"/>
          <w:highlight w:val="lightGray"/>
          <w:lang w:bidi="hi-IN"/>
        </w:rPr>
        <w:t xml:space="preserve">« coordonnées du contact auprès de l’émetteur. » </w:t>
      </w:r>
    </w:p>
    <w:p w:rsidR="00C86BBD" w:rsidRDefault="00261BD5">
      <w:pPr>
        <w:pStyle w:val="Paragraphedeliste"/>
        <w:ind w:left="0"/>
        <w:contextualSpacing/>
        <w:rPr>
          <w:rFonts w:ascii="Arial" w:hAnsi="Arial" w:cs="Arial"/>
          <w:sz w:val="22"/>
          <w:szCs w:val="22"/>
        </w:rPr>
      </w:pPr>
      <w:r>
        <w:rPr>
          <w:rFonts w:ascii="Arial" w:hAnsi="Arial" w:cs="Arial"/>
          <w:color w:val="000000"/>
          <w:sz w:val="22"/>
          <w:szCs w:val="22"/>
        </w:rPr>
        <w:t xml:space="preserve">Si vous n'obtenez pas satisfaction, contactez le service médiation des consommateurs, </w:t>
      </w:r>
      <w:proofErr w:type="spellStart"/>
      <w:r>
        <w:rPr>
          <w:rFonts w:ascii="Arial" w:hAnsi="Arial" w:cs="Arial"/>
          <w:sz w:val="22"/>
          <w:szCs w:val="22"/>
        </w:rPr>
        <w:t>North</w:t>
      </w:r>
      <w:proofErr w:type="spellEnd"/>
      <w:r>
        <w:rPr>
          <w:rFonts w:ascii="Arial" w:hAnsi="Arial" w:cs="Arial"/>
          <w:sz w:val="22"/>
          <w:szCs w:val="22"/>
        </w:rPr>
        <w:t xml:space="preserve"> </w:t>
      </w:r>
      <w:proofErr w:type="spellStart"/>
      <w:r>
        <w:rPr>
          <w:rFonts w:ascii="Arial" w:hAnsi="Arial" w:cs="Arial"/>
          <w:sz w:val="22"/>
          <w:szCs w:val="22"/>
        </w:rPr>
        <w:t>Gate</w:t>
      </w:r>
      <w:proofErr w:type="spellEnd"/>
      <w:r>
        <w:rPr>
          <w:rFonts w:ascii="Arial" w:hAnsi="Arial" w:cs="Arial"/>
          <w:sz w:val="22"/>
          <w:szCs w:val="22"/>
        </w:rPr>
        <w:t xml:space="preserve"> II, Boulevard du Roi Albert II 8 Bte 1 à 1000 Bruxelles (Tel : 02 702 52 20, E-mail : </w:t>
      </w:r>
      <w:r>
        <w:rPr>
          <w:rFonts w:ascii="Arial" w:hAnsi="Arial" w:cs="Arial"/>
          <w:sz w:val="22"/>
          <w:szCs w:val="22"/>
        </w:rPr>
        <w:lastRenderedPageBreak/>
        <w:t>contact@mediationconsom</w:t>
      </w:r>
      <w:r>
        <w:rPr>
          <w:rFonts w:ascii="Arial" w:hAnsi="Arial" w:cs="Arial"/>
          <w:sz w:val="22"/>
          <w:szCs w:val="22"/>
        </w:rPr>
        <w:t>mateur.be</w:t>
      </w:r>
      <w:r>
        <w:rPr>
          <w:rFonts w:ascii="Arial" w:hAnsi="Arial" w:cs="Arial"/>
          <w:sz w:val="22"/>
          <w:szCs w:val="22"/>
          <w:lang w:val="fr-BE"/>
        </w:rPr>
        <w:t>).</w:t>
      </w:r>
    </w:p>
    <w:p w:rsidR="00C86BBD" w:rsidRDefault="00C86BBD">
      <w:pPr>
        <w:pStyle w:val="Paragraphedeliste"/>
        <w:ind w:left="12"/>
        <w:contextualSpacing/>
        <w:jc w:val="left"/>
        <w:rPr>
          <w:rFonts w:ascii="Arial" w:hAnsi="Arial" w:cs="Arial"/>
          <w:color w:val="000000"/>
          <w:sz w:val="22"/>
          <w:szCs w:val="22"/>
        </w:rPr>
      </w:pPr>
    </w:p>
    <w:p w:rsidR="00C86BBD" w:rsidRDefault="00C86BBD">
      <w:pPr>
        <w:jc w:val="left"/>
        <w:rPr>
          <w:rFonts w:ascii="Arial" w:hAnsi="Arial" w:cs="Arial"/>
          <w:color w:val="000000"/>
          <w:sz w:val="22"/>
          <w:szCs w:val="22"/>
        </w:rPr>
      </w:pPr>
    </w:p>
    <w:p w:rsidR="00C86BBD" w:rsidRDefault="00261BD5">
      <w:pPr>
        <w:jc w:val="left"/>
      </w:pPr>
      <w:r>
        <w:rPr>
          <w:rFonts w:ascii="Arial" w:hAnsi="Arial" w:cs="Arial"/>
          <w:color w:val="000000"/>
          <w:sz w:val="22"/>
          <w:szCs w:val="22"/>
        </w:rPr>
        <w:t xml:space="preserve">Cette fiche d'information est établie à la date du </w:t>
      </w:r>
      <w:r>
        <w:rPr>
          <w:rFonts w:ascii="Arial" w:hAnsi="Arial" w:cs="Arial"/>
          <w:color w:val="000000"/>
          <w:sz w:val="22"/>
          <w:szCs w:val="22"/>
          <w:highlight w:val="lightGray"/>
        </w:rPr>
        <w:t>xx/</w:t>
      </w:r>
      <w:proofErr w:type="spellStart"/>
      <w:r>
        <w:rPr>
          <w:rFonts w:ascii="Arial" w:hAnsi="Arial" w:cs="Arial"/>
          <w:color w:val="000000"/>
          <w:sz w:val="22"/>
          <w:szCs w:val="22"/>
          <w:highlight w:val="lightGray"/>
        </w:rPr>
        <w:t>yy</w:t>
      </w:r>
      <w:proofErr w:type="spellEnd"/>
      <w:r>
        <w:rPr>
          <w:rFonts w:ascii="Arial" w:hAnsi="Arial" w:cs="Arial"/>
          <w:color w:val="000000"/>
          <w:sz w:val="22"/>
          <w:szCs w:val="22"/>
          <w:highlight w:val="lightGray"/>
        </w:rPr>
        <w:t>/</w:t>
      </w:r>
      <w:proofErr w:type="spellStart"/>
      <w:r>
        <w:rPr>
          <w:rFonts w:ascii="Arial" w:hAnsi="Arial" w:cs="Arial"/>
          <w:color w:val="000000"/>
          <w:sz w:val="22"/>
          <w:szCs w:val="22"/>
          <w:highlight w:val="lightGray"/>
        </w:rPr>
        <w:t>dddd</w:t>
      </w:r>
      <w:proofErr w:type="spellEnd"/>
      <w:r>
        <w:rPr>
          <w:rFonts w:ascii="Arial" w:hAnsi="Arial" w:cs="Arial"/>
          <w:color w:val="000000"/>
          <w:sz w:val="22"/>
          <w:szCs w:val="22"/>
          <w:shd w:val="clear" w:color="auto" w:fill="FFFFFF"/>
        </w:rPr>
        <w:t xml:space="preserve">         </w:t>
      </w:r>
    </w:p>
    <w:p w:rsidR="00C86BBD" w:rsidRDefault="00261BD5">
      <w:pPr>
        <w:jc w:val="left"/>
        <w:rPr>
          <w:rFonts w:ascii="Arial" w:hAnsi="Arial" w:cs="Arial"/>
          <w:color w:val="000000"/>
          <w:sz w:val="22"/>
          <w:szCs w:val="22"/>
        </w:rPr>
      </w:pPr>
      <w:proofErr w:type="gramStart"/>
      <w:r>
        <w:rPr>
          <w:rFonts w:ascii="Arial" w:hAnsi="Arial" w:cs="Arial"/>
          <w:color w:val="000000"/>
          <w:sz w:val="22"/>
          <w:szCs w:val="22"/>
          <w:highlight w:val="lightGray"/>
          <w:shd w:val="clear" w:color="auto" w:fill="FFFFFF"/>
        </w:rPr>
        <w:t>nom</w:t>
      </w:r>
      <w:proofErr w:type="gramEnd"/>
      <w:r>
        <w:rPr>
          <w:rFonts w:ascii="Arial" w:hAnsi="Arial" w:cs="Arial"/>
          <w:color w:val="000000"/>
          <w:sz w:val="22"/>
          <w:szCs w:val="22"/>
          <w:highlight w:val="lightGray"/>
          <w:shd w:val="clear" w:color="auto" w:fill="FFFFFF"/>
        </w:rPr>
        <w:t xml:space="preserve"> de l’émetteur</w:t>
      </w:r>
      <w:r>
        <w:rPr>
          <w:rFonts w:ascii="Arial" w:hAnsi="Arial" w:cs="Arial"/>
          <w:color w:val="000000"/>
          <w:sz w:val="22"/>
          <w:szCs w:val="22"/>
          <w:highlight w:val="lightGray"/>
        </w:rPr>
        <w:t xml:space="preserve"> </w:t>
      </w:r>
      <w:r>
        <w:rPr>
          <w:rFonts w:ascii="Arial" w:hAnsi="Arial" w:cs="Arial"/>
          <w:color w:val="000000"/>
          <w:sz w:val="22"/>
          <w:szCs w:val="22"/>
          <w:highlight w:val="lightGray"/>
          <w:shd w:val="clear" w:color="auto" w:fill="FFFFFF"/>
        </w:rPr>
        <w:t>statut juridique</w:t>
      </w:r>
      <w:r>
        <w:rPr>
          <w:rFonts w:ascii="Arial" w:hAnsi="Arial" w:cs="Arial"/>
          <w:color w:val="000000"/>
          <w:sz w:val="22"/>
          <w:szCs w:val="22"/>
          <w:highlight w:val="lightGray"/>
        </w:rPr>
        <w:t xml:space="preserve">, </w:t>
      </w:r>
      <w:r>
        <w:rPr>
          <w:rFonts w:ascii="Arial" w:hAnsi="Arial" w:cs="Arial"/>
          <w:color w:val="000000"/>
          <w:sz w:val="22"/>
          <w:szCs w:val="22"/>
          <w:highlight w:val="lightGray"/>
          <w:shd w:val="clear" w:color="auto" w:fill="FFFFFF"/>
        </w:rPr>
        <w:t>adresse</w:t>
      </w:r>
      <w:r>
        <w:rPr>
          <w:rFonts w:ascii="Arial" w:hAnsi="Arial" w:cs="Arial"/>
          <w:color w:val="000000"/>
          <w:sz w:val="22"/>
          <w:szCs w:val="22"/>
          <w:highlight w:val="lightGray"/>
        </w:rPr>
        <w:t xml:space="preserve">, RPM </w:t>
      </w:r>
      <w:r>
        <w:rPr>
          <w:rFonts w:ascii="Arial" w:hAnsi="Arial" w:cs="Arial"/>
          <w:color w:val="000000"/>
          <w:sz w:val="22"/>
          <w:szCs w:val="22"/>
          <w:highlight w:val="lightGray"/>
          <w:shd w:val="clear" w:color="auto" w:fill="FFFFFF"/>
        </w:rPr>
        <w:t xml:space="preserve">                </w:t>
      </w:r>
      <w:r>
        <w:rPr>
          <w:rFonts w:ascii="Arial" w:hAnsi="Arial" w:cs="Arial"/>
          <w:color w:val="000000"/>
          <w:sz w:val="22"/>
          <w:szCs w:val="22"/>
          <w:highlight w:val="lightGray"/>
        </w:rPr>
        <w:t xml:space="preserve"> – TVA BE</w:t>
      </w:r>
      <w:r>
        <w:rPr>
          <w:rFonts w:ascii="Arial" w:hAnsi="Arial" w:cs="Arial"/>
          <w:color w:val="000000"/>
          <w:sz w:val="22"/>
          <w:szCs w:val="22"/>
          <w:highlight w:val="lightGray"/>
          <w:shd w:val="clear" w:color="auto" w:fill="FFFFFF"/>
        </w:rPr>
        <w:t xml:space="preserve">           </w:t>
      </w:r>
      <w:r>
        <w:rPr>
          <w:rFonts w:ascii="Arial" w:hAnsi="Arial" w:cs="Arial"/>
          <w:color w:val="000000"/>
          <w:sz w:val="22"/>
          <w:szCs w:val="22"/>
          <w:highlight w:val="lightGray"/>
        </w:rPr>
        <w:t>, tél. :</w:t>
      </w:r>
      <w:r>
        <w:rPr>
          <w:rFonts w:ascii="Arial" w:hAnsi="Arial" w:cs="Arial"/>
          <w:color w:val="000000"/>
          <w:sz w:val="22"/>
          <w:szCs w:val="22"/>
        </w:rPr>
        <w:t xml:space="preserve"> </w:t>
      </w:r>
      <w:r>
        <w:rPr>
          <w:rFonts w:ascii="Arial" w:hAnsi="Arial" w:cs="Arial"/>
          <w:color w:val="000000"/>
          <w:sz w:val="22"/>
          <w:szCs w:val="22"/>
          <w:shd w:val="clear" w:color="auto" w:fill="FFFFFF"/>
        </w:rPr>
        <w:t xml:space="preserve">                    </w:t>
      </w:r>
    </w:p>
    <w:p w:rsidR="00C86BBD" w:rsidRDefault="00C86BBD">
      <w:pPr>
        <w:pStyle w:val="Corpsdetexte"/>
        <w:tabs>
          <w:tab w:val="right" w:pos="9963"/>
        </w:tabs>
        <w:jc w:val="left"/>
      </w:pPr>
    </w:p>
    <w:sectPr w:rsidR="00C86BBD">
      <w:footerReference w:type="default" r:id="rId7"/>
      <w:pgSz w:w="12240" w:h="15840"/>
      <w:pgMar w:top="1417" w:right="1417" w:bottom="1417" w:left="1417" w:header="0" w:footer="720" w:gutter="0"/>
      <w:cols w:space="720"/>
      <w:formProt w:val="0"/>
      <w:docGrid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1BD5">
      <w:r>
        <w:separator/>
      </w:r>
    </w:p>
  </w:endnote>
  <w:endnote w:type="continuationSeparator" w:id="0">
    <w:p w:rsidR="00000000" w:rsidRDefault="002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99051"/>
      <w:docPartObj>
        <w:docPartGallery w:val="Page Numbers (Top of Page)"/>
        <w:docPartUnique/>
      </w:docPartObj>
    </w:sdtPr>
    <w:sdtEndPr/>
    <w:sdtContent>
      <w:p w:rsidR="00C86BBD" w:rsidRDefault="00261BD5">
        <w:pPr>
          <w:pStyle w:val="Pieddepage"/>
          <w:jc w:val="center"/>
        </w:pP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4</w:t>
        </w:r>
        <w:r>
          <w:rPr>
            <w:rFonts w:ascii="Arial" w:hAnsi="Arial" w:cs="Arial"/>
            <w:bCs/>
            <w:sz w:val="18"/>
            <w:szCs w:val="18"/>
          </w:rPr>
          <w:fldChar w:fldCharType="end"/>
        </w:r>
        <w:r>
          <w:rPr>
            <w:rFonts w:ascii="Arial" w:hAnsi="Arial" w:cs="Arial"/>
            <w:sz w:val="18"/>
            <w:szCs w:val="18"/>
          </w:rPr>
          <w:t>/</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4</w:t>
        </w:r>
        <w:r>
          <w:rPr>
            <w:rFonts w:ascii="Arial" w:hAnsi="Arial" w:cs="Arial"/>
            <w:bCs/>
            <w:sz w:val="18"/>
            <w:szCs w:val="18"/>
          </w:rPr>
          <w:fldChar w:fldCharType="end"/>
        </w:r>
        <w:r>
          <w:rPr>
            <w:rFonts w:ascii="Arial" w:hAnsi="Arial" w:cs="Arial"/>
            <w:bCs/>
            <w:sz w:val="18"/>
            <w:szCs w:val="18"/>
          </w:rPr>
          <w:t xml:space="preserve"> – fiche d’informations action</w:t>
        </w:r>
      </w:p>
    </w:sdtContent>
  </w:sdt>
  <w:p w:rsidR="00C86BBD" w:rsidRDefault="00C86B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BD" w:rsidRDefault="00261BD5">
      <w:r>
        <w:separator/>
      </w:r>
    </w:p>
  </w:footnote>
  <w:footnote w:type="continuationSeparator" w:id="0">
    <w:p w:rsidR="00C86BBD" w:rsidRDefault="00261BD5">
      <w:r>
        <w:continuationSeparator/>
      </w:r>
    </w:p>
  </w:footnote>
  <w:footnote w:id="1">
    <w:p w:rsidR="00C86BBD" w:rsidRDefault="00261BD5">
      <w:pPr>
        <w:pStyle w:val="Notedebasdepage"/>
      </w:pPr>
      <w:r>
        <w:rPr>
          <w:rStyle w:val="Caractresdenotedebasdepage"/>
        </w:rPr>
        <w:footnoteRef/>
      </w:r>
      <w:r>
        <w:rPr>
          <w:rStyle w:val="Caractresdenotedebasdepage"/>
        </w:rPr>
        <w:tab/>
        <w:t xml:space="preserve"> </w:t>
      </w:r>
      <w:r>
        <w:rPr>
          <w:rFonts w:ascii="Arial" w:hAnsi="Arial" w:cs="Arial"/>
          <w:sz w:val="18"/>
          <w:szCs w:val="18"/>
        </w:rPr>
        <w:t xml:space="preserve">CNC : Conseil National de la Coopérative. « Le dividende octroyé aux associés sur les parts du capital social ne peut </w:t>
      </w:r>
      <w:r>
        <w:rPr>
          <w:rFonts w:ascii="Arial" w:hAnsi="Arial" w:cs="Arial"/>
          <w:sz w:val="18"/>
          <w:szCs w:val="18"/>
        </w:rPr>
        <w:t>dépasser 6 pour cent de la valeur nominale (=montant investi) des parts sociales après retenue du précompte mobilier. »</w:t>
      </w:r>
    </w:p>
  </w:footnote>
  <w:footnote w:id="2">
    <w:p w:rsidR="00C86BBD" w:rsidRDefault="00261BD5">
      <w:pPr>
        <w:pStyle w:val="Notedebasdepage"/>
      </w:pPr>
      <w:r>
        <w:rPr>
          <w:rStyle w:val="Caractresdenotedebasdepage"/>
        </w:rPr>
        <w:footnoteRef/>
      </w:r>
      <w:r>
        <w:rPr>
          <w:rStyle w:val="Caractresdenotedebasdepage"/>
        </w:rPr>
        <w:tab/>
        <w:t xml:space="preserve"> </w:t>
      </w:r>
      <w:r>
        <w:rPr>
          <w:rFonts w:ascii="Arial" w:eastAsia="Droid Sans Fallback" w:hAnsi="Arial" w:cs="Arial"/>
          <w:color w:val="141414"/>
          <w:sz w:val="18"/>
          <w:szCs w:val="18"/>
          <w:lang w:bidi="hi-IN"/>
        </w:rPr>
        <w:t>Voir l’avis relatif à l’indexation automatique en matière d’impôts sur les revenus. — Exercice d’imposition 2019, Moniteur belge du 2</w:t>
      </w:r>
      <w:r>
        <w:rPr>
          <w:rFonts w:ascii="Arial" w:eastAsia="Droid Sans Fallback" w:hAnsi="Arial" w:cs="Arial"/>
          <w:color w:val="141414"/>
          <w:sz w:val="18"/>
          <w:szCs w:val="18"/>
          <w:lang w:bidi="hi-IN"/>
        </w:rPr>
        <w:t>6 janvier 2018 p.6591.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33B"/>
    <w:multiLevelType w:val="multilevel"/>
    <w:tmpl w:val="E312C8C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62145F10"/>
    <w:multiLevelType w:val="multilevel"/>
    <w:tmpl w:val="443E7C54"/>
    <w:lvl w:ilvl="0">
      <w:start w:val="1"/>
      <w:numFmt w:val="none"/>
      <w:pStyle w:val="Titre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BD"/>
    <w:rsid w:val="00261BD5"/>
    <w:rsid w:val="00C86BBD"/>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10F8-5740-4B17-9AEF-988E901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00"/>
    <w:pPr>
      <w:widowControl w:val="0"/>
      <w:suppressAutoHyphens/>
      <w:jc w:val="both"/>
    </w:pPr>
    <w:rPr>
      <w:rFonts w:ascii="Times New Roman" w:eastAsia="Times New Roman" w:hAnsi="Times New Roman" w:cs="Times New Roman"/>
      <w:color w:val="00000A"/>
      <w:sz w:val="24"/>
      <w:szCs w:val="24"/>
      <w:lang w:val="fr-FR" w:eastAsia="zh-CN"/>
    </w:rPr>
  </w:style>
  <w:style w:type="paragraph" w:styleId="Titre1">
    <w:name w:val="heading 1"/>
    <w:basedOn w:val="Normal"/>
    <w:next w:val="Normal"/>
    <w:link w:val="Titre1Car"/>
    <w:qFormat/>
    <w:rsid w:val="00C42E00"/>
    <w:pPr>
      <w:keepNext/>
      <w:keepLines/>
      <w:numPr>
        <w:numId w:val="1"/>
      </w:numPr>
      <w:spacing w:before="240" w:after="60"/>
      <w:outlineLvl w:val="0"/>
    </w:pPr>
    <w:rPr>
      <w:rFonts w:ascii="Arial" w:eastAsia="Arial" w:hAnsi="Arial" w:cs="Arial"/>
      <w:b/>
      <w:bCs/>
      <w:color w:val="365F91"/>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rsid w:val="00B64164"/>
  </w:style>
  <w:style w:type="character" w:customStyle="1" w:styleId="Titre1Car">
    <w:name w:val="Titre 1 Car"/>
    <w:basedOn w:val="Policepardfaut"/>
    <w:link w:val="Titre1"/>
    <w:qFormat/>
    <w:rsid w:val="00C42E00"/>
    <w:rPr>
      <w:rFonts w:ascii="Arial" w:eastAsia="Arial" w:hAnsi="Arial" w:cs="Arial"/>
      <w:b/>
      <w:bCs/>
      <w:color w:val="365F91"/>
      <w:sz w:val="32"/>
      <w:szCs w:val="32"/>
      <w:lang w:eastAsia="zh-CN"/>
    </w:rPr>
  </w:style>
  <w:style w:type="character" w:customStyle="1" w:styleId="LienInternet">
    <w:name w:val="Lien Internet"/>
    <w:rsid w:val="00C42E00"/>
    <w:rPr>
      <w:color w:val="000080"/>
      <w:u w:val="single"/>
    </w:rPr>
  </w:style>
  <w:style w:type="character" w:customStyle="1" w:styleId="Ancredenotedebasdepage">
    <w:name w:val="Ancre de note de bas de page"/>
    <w:rsid w:val="00C42E00"/>
    <w:rPr>
      <w:vertAlign w:val="superscript"/>
    </w:rPr>
  </w:style>
  <w:style w:type="character" w:customStyle="1" w:styleId="FootnoteCharacters">
    <w:name w:val="Footnote Characters"/>
    <w:qFormat/>
    <w:rsid w:val="00C42E00"/>
    <w:rPr>
      <w:vertAlign w:val="superscript"/>
    </w:rPr>
  </w:style>
  <w:style w:type="character" w:customStyle="1" w:styleId="CorpsdetexteCar">
    <w:name w:val="Corps de texte Car"/>
    <w:basedOn w:val="Policepardfaut"/>
    <w:link w:val="Corpsdetexte"/>
    <w:qFormat/>
    <w:rsid w:val="00C42E00"/>
    <w:rPr>
      <w:rFonts w:ascii="Times New Roman" w:eastAsia="Times New Roman" w:hAnsi="Times New Roman" w:cs="Times New Roman"/>
      <w:lang w:val="fr-FR" w:eastAsia="zh-CN"/>
    </w:rPr>
  </w:style>
  <w:style w:type="character" w:customStyle="1" w:styleId="PieddepageCar">
    <w:name w:val="Pied de page Car"/>
    <w:basedOn w:val="Policepardfaut"/>
    <w:uiPriority w:val="99"/>
    <w:qFormat/>
    <w:rsid w:val="00C42E00"/>
    <w:rPr>
      <w:rFonts w:ascii="Times New Roman" w:eastAsia="Times New Roman" w:hAnsi="Times New Roman" w:cs="Times New Roman"/>
      <w:sz w:val="24"/>
      <w:szCs w:val="24"/>
      <w:lang w:val="fr-FR" w:eastAsia="zh-CN"/>
    </w:rPr>
  </w:style>
  <w:style w:type="character" w:customStyle="1" w:styleId="NotedebasdepageCar">
    <w:name w:val="Note de bas de page Car"/>
    <w:basedOn w:val="Policepardfaut"/>
    <w:link w:val="Notedebasdepage"/>
    <w:qFormat/>
    <w:rsid w:val="00C42E00"/>
    <w:rPr>
      <w:rFonts w:ascii="Times New Roman" w:eastAsia="Times New Roman" w:hAnsi="Times New Roman" w:cs="Times New Roman"/>
      <w:sz w:val="24"/>
      <w:szCs w:val="24"/>
      <w:lang w:val="fr-FR" w:eastAsia="zh-CN"/>
    </w:rPr>
  </w:style>
  <w:style w:type="character" w:customStyle="1" w:styleId="PieddepageCar1">
    <w:name w:val="Pied de page Car1"/>
    <w:link w:val="Pieddepage"/>
    <w:uiPriority w:val="99"/>
    <w:qFormat/>
    <w:rsid w:val="00C42E00"/>
    <w:rPr>
      <w:rFonts w:ascii="Times New Roman" w:eastAsia="Times New Roman" w:hAnsi="Times New Roman" w:cs="Times New Roman"/>
      <w:sz w:val="24"/>
      <w:szCs w:val="24"/>
      <w:lang w:val="fr-FR" w:eastAsia="zh-CN"/>
    </w:rPr>
  </w:style>
  <w:style w:type="character" w:customStyle="1" w:styleId="En-tteCar">
    <w:name w:val="En-tête Car"/>
    <w:basedOn w:val="Policepardfaut"/>
    <w:uiPriority w:val="99"/>
    <w:qFormat/>
    <w:rsid w:val="00C42E00"/>
    <w:rPr>
      <w:rFonts w:ascii="Times New Roman" w:eastAsia="Times New Roman" w:hAnsi="Times New Roman" w:cs="Times New Roman"/>
      <w:sz w:val="24"/>
      <w:szCs w:val="24"/>
      <w:lang w:val="fr-FR" w:eastAsia="zh-CN"/>
    </w:rPr>
  </w:style>
  <w:style w:type="character" w:customStyle="1" w:styleId="TextedebullesCar">
    <w:name w:val="Texte de bulles Car"/>
    <w:basedOn w:val="Policepardfaut"/>
    <w:link w:val="Textedebulles"/>
    <w:uiPriority w:val="99"/>
    <w:semiHidden/>
    <w:qFormat/>
    <w:rsid w:val="003F7AFF"/>
    <w:rPr>
      <w:rFonts w:ascii="Segoe UI" w:eastAsia="Times New Roman" w:hAnsi="Segoe UI" w:cs="Segoe UI"/>
      <w:sz w:val="18"/>
      <w:szCs w:val="18"/>
      <w:lang w:val="fr-FR"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visit">
    <w:name w:val="Lien Internet visité"/>
    <w:rPr>
      <w:color w:val="800000"/>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Arial"/>
      <w:color w:val="000000"/>
      <w:sz w:val="22"/>
      <w:szCs w:val="22"/>
    </w:rPr>
  </w:style>
  <w:style w:type="character" w:customStyle="1" w:styleId="ListLabel56">
    <w:name w:val="ListLabel 56"/>
    <w:qFormat/>
    <w:rPr>
      <w:rFonts w:ascii="Arial" w:hAnsi="Arial" w:cs="Arial"/>
      <w:color w:val="000000"/>
      <w:sz w:val="22"/>
      <w:szCs w:val="22"/>
    </w:rPr>
  </w:style>
  <w:style w:type="character" w:customStyle="1" w:styleId="ListLabel57">
    <w:name w:val="ListLabel 57"/>
    <w:qFormat/>
    <w:rPr>
      <w:rFonts w:ascii="Arial" w:hAnsi="Arial" w:cs="Arial"/>
      <w:color w:val="000000"/>
      <w:sz w:val="22"/>
      <w:szCs w:val="22"/>
    </w:rPr>
  </w:style>
  <w:style w:type="character" w:customStyle="1" w:styleId="ListLabel58">
    <w:name w:val="ListLabel 58"/>
    <w:qFormat/>
    <w:rPr>
      <w:rFonts w:ascii="Arial" w:hAnsi="Arial" w:cs="Arial"/>
      <w:color w:val="000000"/>
      <w:sz w:val="22"/>
      <w:szCs w:val="22"/>
    </w:rPr>
  </w:style>
  <w:style w:type="character" w:customStyle="1" w:styleId="ListLabel59">
    <w:name w:val="ListLabel 59"/>
    <w:qFormat/>
    <w:rPr>
      <w:rFonts w:ascii="Arial" w:hAnsi="Arial" w:cs="Arial"/>
      <w:color w:val="000000"/>
      <w:sz w:val="22"/>
      <w:szCs w:val="22"/>
    </w:rPr>
  </w:style>
  <w:style w:type="character" w:customStyle="1" w:styleId="CommentaireCar">
    <w:name w:val="Commentaire Car"/>
    <w:basedOn w:val="Policepardfaut"/>
    <w:link w:val="Commentaire"/>
    <w:uiPriority w:val="99"/>
    <w:semiHidden/>
    <w:qFormat/>
    <w:rPr>
      <w:rFonts w:ascii="Times New Roman" w:eastAsia="Times New Roman" w:hAnsi="Times New Roman" w:cs="Times New Roman"/>
      <w:color w:val="00000A"/>
      <w:szCs w:val="20"/>
      <w:lang w:val="fr-FR" w:eastAsia="zh-CN"/>
    </w:rPr>
  </w:style>
  <w:style w:type="character" w:styleId="Marquedecommentaire">
    <w:name w:val="annotation reference"/>
    <w:basedOn w:val="Policepardfaut"/>
    <w:uiPriority w:val="99"/>
    <w:semiHidden/>
    <w:unhideWhenUsed/>
    <w:qFormat/>
    <w:rPr>
      <w:sz w:val="16"/>
      <w:szCs w:val="16"/>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link w:val="CorpsdetexteCar"/>
    <w:rsid w:val="00C42E00"/>
    <w:pPr>
      <w:spacing w:line="288" w:lineRule="auto"/>
    </w:pPr>
    <w:rPr>
      <w:sz w:val="22"/>
      <w:szCs w:val="22"/>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ieddepage">
    <w:name w:val="footer"/>
    <w:basedOn w:val="Normal"/>
    <w:link w:val="PieddepageCar1"/>
    <w:uiPriority w:val="99"/>
    <w:rsid w:val="00C42E00"/>
    <w:pPr>
      <w:tabs>
        <w:tab w:val="center" w:pos="4536"/>
        <w:tab w:val="right" w:pos="9072"/>
      </w:tabs>
    </w:pPr>
  </w:style>
  <w:style w:type="paragraph" w:customStyle="1" w:styleId="Contenudetableau">
    <w:name w:val="Contenu de tableau"/>
    <w:basedOn w:val="Normal"/>
    <w:qFormat/>
    <w:rsid w:val="00C42E00"/>
    <w:pPr>
      <w:suppressLineNumbers/>
    </w:pPr>
  </w:style>
  <w:style w:type="paragraph" w:styleId="Notedebasdepage">
    <w:name w:val="footnote text"/>
    <w:basedOn w:val="Normal"/>
    <w:link w:val="NotedebasdepageCar"/>
  </w:style>
  <w:style w:type="paragraph" w:styleId="Paragraphedeliste">
    <w:name w:val="List Paragraph"/>
    <w:basedOn w:val="Normal"/>
    <w:qFormat/>
    <w:rsid w:val="00C42E00"/>
    <w:pPr>
      <w:ind w:left="708"/>
    </w:pPr>
  </w:style>
  <w:style w:type="paragraph" w:styleId="En-tte">
    <w:name w:val="header"/>
    <w:basedOn w:val="Normal"/>
    <w:uiPriority w:val="99"/>
    <w:unhideWhenUsed/>
    <w:rsid w:val="00C42E00"/>
    <w:pPr>
      <w:tabs>
        <w:tab w:val="center" w:pos="4536"/>
        <w:tab w:val="right" w:pos="9072"/>
      </w:tabs>
    </w:pPr>
  </w:style>
  <w:style w:type="paragraph" w:customStyle="1" w:styleId="Titredetableau">
    <w:name w:val="Titre de tableau"/>
    <w:basedOn w:val="Contenudetableau"/>
    <w:qFormat/>
    <w:rsid w:val="003F7AFF"/>
    <w:pPr>
      <w:jc w:val="center"/>
    </w:pPr>
    <w:rPr>
      <w:b/>
      <w:bCs/>
    </w:rPr>
  </w:style>
  <w:style w:type="paragraph" w:styleId="Textedebulles">
    <w:name w:val="Balloon Text"/>
    <w:basedOn w:val="Normal"/>
    <w:link w:val="TextedebullesCar"/>
    <w:uiPriority w:val="99"/>
    <w:semiHidden/>
    <w:unhideWhenUsed/>
    <w:qFormat/>
    <w:rsid w:val="003F7AFF"/>
    <w:rPr>
      <w:rFonts w:ascii="Segoe UI" w:hAnsi="Segoe UI" w:cs="Segoe UI"/>
      <w:sz w:val="18"/>
      <w:szCs w:val="18"/>
    </w:rPr>
  </w:style>
  <w:style w:type="paragraph" w:customStyle="1" w:styleId="Listenabsatz1">
    <w:name w:val="Listenabsatz1"/>
    <w:basedOn w:val="Normal"/>
    <w:qFormat/>
    <w:rsid w:val="003F7AFF"/>
    <w:pPr>
      <w:ind w:left="708"/>
    </w:pPr>
  </w:style>
  <w:style w:type="paragraph" w:styleId="Commentaire">
    <w:name w:val="annotation text"/>
    <w:basedOn w:val="Normal"/>
    <w:link w:val="CommentaireCar"/>
    <w:uiPriority w:val="99"/>
    <w:semiHidden/>
    <w:unhideWhenUsed/>
    <w:qFormat/>
    <w:rPr>
      <w:sz w:val="20"/>
      <w:szCs w:val="20"/>
    </w:rPr>
  </w:style>
  <w:style w:type="table" w:styleId="Grilledutableau">
    <w:name w:val="Table Grid"/>
    <w:basedOn w:val="TableauNormal"/>
    <w:uiPriority w:val="39"/>
    <w:rsid w:val="00AA446B"/>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874</Words>
  <Characters>4810</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Cayrol</dc:creator>
  <dc:description/>
  <cp:lastModifiedBy>Annika Cayrol</cp:lastModifiedBy>
  <cp:revision>21</cp:revision>
  <cp:lastPrinted>2018-11-05T15:48:00Z</cp:lastPrinted>
  <dcterms:created xsi:type="dcterms:W3CDTF">2018-11-05T12:21:00Z</dcterms:created>
  <dcterms:modified xsi:type="dcterms:W3CDTF">2018-11-27T11:37:00Z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